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03BEF" w:rsidR="00403BEF" w:rsidP="3ABC9AE3" w:rsidRDefault="00403BEF" w14:paraId="51E7B623" w14:textId="30C23491">
      <w:pPr>
        <w:jc w:val="right"/>
        <w:rPr>
          <w:rFonts w:ascii="Arial" w:hAnsi="Arial" w:cs="Arial"/>
          <w:b w:val="1"/>
          <w:bCs w:val="1"/>
          <w:sz w:val="18"/>
          <w:szCs w:val="18"/>
        </w:rPr>
      </w:pPr>
      <w:r w:rsidRPr="3ABC9AE3" w:rsidR="3ABC9AE3">
        <w:rPr>
          <w:rFonts w:ascii="Arial" w:hAnsi="Arial" w:cs="Arial"/>
          <w:b w:val="1"/>
          <w:bCs w:val="1"/>
          <w:sz w:val="18"/>
          <w:szCs w:val="18"/>
        </w:rPr>
        <w:t xml:space="preserve">           FICHA DE REPORTE AVANCE METAS PED 2025</w:t>
      </w:r>
    </w:p>
    <w:p w:rsidRPr="000A0F24" w:rsidR="005A1D78" w:rsidP="55CCE524" w:rsidRDefault="026430B8" w14:paraId="541F7BF7" w14:textId="37E972C6">
      <w:pPr>
        <w:jc w:val="right"/>
        <w:rPr>
          <w:rFonts w:ascii="Arial" w:hAnsi="Arial" w:cs="Arial"/>
          <w:b w:val="1"/>
          <w:bCs w:val="1"/>
          <w:sz w:val="18"/>
          <w:szCs w:val="18"/>
        </w:rPr>
      </w:pPr>
      <w:r w:rsidRPr="0DFFE496" w:rsidR="61BA52EE">
        <w:rPr>
          <w:rFonts w:ascii="Arial" w:hAnsi="Arial" w:cs="Arial"/>
          <w:b w:val="1"/>
          <w:bCs w:val="1"/>
          <w:sz w:val="18"/>
          <w:szCs w:val="18"/>
        </w:rPr>
        <w:t xml:space="preserve">FECHA: </w:t>
      </w:r>
      <w:r w:rsidRPr="0DFFE496" w:rsidR="46F8CDBE">
        <w:rPr>
          <w:rFonts w:ascii="Arial" w:hAnsi="Arial" w:cs="Arial"/>
          <w:b w:val="1"/>
          <w:bCs w:val="1"/>
          <w:sz w:val="18"/>
          <w:szCs w:val="18"/>
        </w:rPr>
        <w:t>10</w:t>
      </w:r>
      <w:r w:rsidRPr="0DFFE496" w:rsidR="61BA52EE">
        <w:rPr>
          <w:rFonts w:ascii="Arial" w:hAnsi="Arial" w:cs="Arial"/>
          <w:b w:val="1"/>
          <w:bCs w:val="1"/>
          <w:sz w:val="18"/>
          <w:szCs w:val="18"/>
        </w:rPr>
        <w:t>/</w:t>
      </w:r>
      <w:r w:rsidRPr="0DFFE496" w:rsidR="1056F91D">
        <w:rPr>
          <w:rFonts w:ascii="Arial" w:hAnsi="Arial" w:cs="Arial"/>
          <w:b w:val="1"/>
          <w:bCs w:val="1"/>
          <w:sz w:val="18"/>
          <w:szCs w:val="18"/>
        </w:rPr>
        <w:t>10</w:t>
      </w:r>
      <w:r w:rsidRPr="0DFFE496" w:rsidR="61BA52EE">
        <w:rPr>
          <w:rFonts w:ascii="Arial" w:hAnsi="Arial" w:cs="Arial"/>
          <w:b w:val="1"/>
          <w:bCs w:val="1"/>
          <w:sz w:val="18"/>
          <w:szCs w:val="18"/>
        </w:rPr>
        <w:t>/2025</w:t>
      </w:r>
    </w:p>
    <w:tbl>
      <w:tblPr>
        <w:tblW w:w="14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818"/>
        <w:gridCol w:w="153"/>
        <w:gridCol w:w="711"/>
        <w:gridCol w:w="478"/>
        <w:gridCol w:w="1433"/>
        <w:gridCol w:w="128"/>
        <w:gridCol w:w="1406"/>
        <w:gridCol w:w="128"/>
        <w:gridCol w:w="1496"/>
        <w:gridCol w:w="5542"/>
      </w:tblGrid>
      <w:tr w:rsidRPr="005002BA" w:rsidR="00403BEF" w:rsidTr="002C26F2" w14:paraId="42B9B533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5002BA" w:rsidR="00403BEF" w:rsidP="00CA7BA3" w:rsidRDefault="00403BEF" w14:paraId="672A6659" w14:textId="77777777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:rsidRPr="005002BA" w:rsidR="00403BEF" w:rsidP="00CA7BA3" w:rsidRDefault="026430B8" w14:paraId="27E66B24" w14:textId="0094F37D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61BA52EE" w:rsidR="61BA52EE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FICHA DE REPORTE DE INDICADORES PED 2022 –2027 – TERCER TRIMESTRE 2025</w:t>
            </w:r>
          </w:p>
        </w:tc>
      </w:tr>
      <w:tr w:rsidRPr="005002BA" w:rsidR="00403BEF" w:rsidTr="002C26F2" w14:paraId="474CB100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5002BA" w:rsidR="00403BEF" w:rsidP="00CA7BA3" w:rsidRDefault="00403BEF" w14:paraId="4F359509" w14:textId="77777777">
            <w:pPr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1. DATOS DE IDENTIFICACIÓN DE LA META</w:t>
            </w:r>
          </w:p>
        </w:tc>
      </w:tr>
      <w:tr w:rsidRPr="005002BA" w:rsidR="00403BEF" w:rsidTr="002C26F2" w14:paraId="0F68D40A" w14:textId="77777777">
        <w:trPr>
          <w:gridAfter w:val="1"/>
          <w:wAfter w:w="5542" w:type="dxa"/>
          <w:trHeight w:val="315"/>
        </w:trPr>
        <w:tc>
          <w:tcPr>
            <w:tcW w:w="3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002BA" w:rsidR="00403BEF" w:rsidP="00CA7BA3" w:rsidRDefault="00403BEF" w14:paraId="77AFBE14" w14:textId="77777777">
            <w:pPr>
              <w:rPr>
                <w:rFonts w:ascii="Arial" w:hAnsi="Arial" w:cs="Arial"/>
                <w:b/>
                <w:sz w:val="16"/>
                <w:szCs w:val="20"/>
                <w:highlight w:val="yellow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6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002BA" w:rsidR="00403BEF" w:rsidP="00CA7BA3" w:rsidRDefault="00403BEF" w14:paraId="6AF48C0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5002BA" w:rsidR="00403BEF" w:rsidTr="002C26F2" w14:paraId="1A16BFCA" w14:textId="77777777">
        <w:trPr>
          <w:gridAfter w:val="1"/>
          <w:wAfter w:w="5542" w:type="dxa"/>
          <w:trHeight w:val="315"/>
        </w:trPr>
        <w:tc>
          <w:tcPr>
            <w:tcW w:w="3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002BA" w:rsidR="00403BEF" w:rsidP="00CA7BA3" w:rsidRDefault="00403BEF" w14:paraId="473F9D83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69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002BA" w:rsidR="00403BEF" w:rsidP="00CA7BA3" w:rsidRDefault="00403BEF" w14:paraId="2B40A6DE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Dr. Gerardo Kenny Inzunza Leyva, Tel: 7587000 Ext.:40399</w:t>
            </w:r>
          </w:p>
          <w:p w:rsidRPr="005002BA" w:rsidR="00403BEF" w:rsidP="00CA7BA3" w:rsidRDefault="00403BEF" w14:paraId="6BE135B1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5002BA" w:rsidR="00403BEF" w:rsidTr="002C26F2" w14:paraId="0A37501D" w14:textId="77777777">
        <w:trPr>
          <w:gridAfter w:val="1"/>
          <w:wAfter w:w="5542" w:type="dxa"/>
          <w:trHeight w:val="70"/>
        </w:trPr>
        <w:tc>
          <w:tcPr>
            <w:tcW w:w="8936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5002BA" w:rsidR="00403BEF" w:rsidP="00CA7BA3" w:rsidRDefault="00403BEF" w14:paraId="5DAB6C7B" w14:textId="77777777">
            <w:pPr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</w:pPr>
          </w:p>
        </w:tc>
      </w:tr>
      <w:tr w:rsidRPr="005002BA" w:rsidR="00403BEF" w:rsidTr="002C26F2" w14:paraId="33665159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5002BA" w:rsidR="00403BEF" w:rsidP="00CA7BA3" w:rsidRDefault="00403BEF" w14:paraId="6881BEA8" w14:textId="77777777">
            <w:pPr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2. DATOS DE IDENTIFICACIÓN DEL INDICADOR</w:t>
            </w:r>
          </w:p>
        </w:tc>
      </w:tr>
      <w:tr w:rsidRPr="005002BA" w:rsidR="00403BEF" w:rsidTr="002C26F2" w14:paraId="24A3EF8E" w14:textId="77777777">
        <w:trPr>
          <w:trHeight w:val="217"/>
        </w:trPr>
        <w:tc>
          <w:tcPr>
            <w:tcW w:w="21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424EA9AE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586F04F9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 xml:space="preserve">Eje </w:t>
            </w:r>
          </w:p>
        </w:tc>
        <w:tc>
          <w:tcPr>
            <w:tcW w:w="57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CA7BA3" w:rsidRDefault="00403BEF" w14:paraId="6BA14466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I.</w:t>
            </w: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 xml:space="preserve"> Bienestar Social Sostenible</w:t>
            </w:r>
          </w:p>
        </w:tc>
        <w:tc>
          <w:tcPr>
            <w:tcW w:w="5542" w:type="dxa"/>
            <w:vMerge w:val="restart"/>
            <w:tcMar/>
            <w:vAlign w:val="center"/>
          </w:tcPr>
          <w:p w:rsidRPr="005002BA" w:rsidR="00403BEF" w:rsidP="00CA7BA3" w:rsidRDefault="00403BEF" w14:paraId="02EB378F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Pr="005002BA" w:rsidR="00403BEF" w:rsidTr="002C26F2" w14:paraId="12C4D419" w14:textId="77777777">
        <w:trPr>
          <w:trHeight w:val="217"/>
        </w:trPr>
        <w:tc>
          <w:tcPr>
            <w:tcW w:w="2185" w:type="dxa"/>
            <w:vMerge/>
            <w:tcMar/>
            <w:vAlign w:val="center"/>
            <w:hideMark/>
          </w:tcPr>
          <w:p w:rsidRPr="005002BA" w:rsidR="00403BEF" w:rsidP="00CA7BA3" w:rsidRDefault="00403BEF" w14:paraId="6A05A809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</w:p>
        </w:tc>
        <w:tc>
          <w:tcPr>
            <w:tcW w:w="9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652ADDA2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>Objetivo</w:t>
            </w:r>
          </w:p>
        </w:tc>
        <w:tc>
          <w:tcPr>
            <w:tcW w:w="57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3F671C" w:rsidRDefault="00403BEF" w14:paraId="662EBA07" w14:textId="741D0EE0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2C26F2" w:rsidR="00403BEF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Objetivo Prioritario 3.1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 xml:space="preserve">Disminuir la prevalencia de las enfermedades 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>cardiometabólicas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 xml:space="preserve"> (diabetes mellitus, hipertensión arterial, obesidad y la enfermedad isquémica del corazón) en la población de 20 años y más, mediante acciones de promoción y atención a estas enfermedades.</w:t>
            </w:r>
          </w:p>
        </w:tc>
        <w:tc>
          <w:tcPr>
            <w:tcW w:w="5542" w:type="dxa"/>
            <w:vMerge/>
            <w:tcMar/>
            <w:vAlign w:val="center"/>
          </w:tcPr>
          <w:p w:rsidRPr="005002BA" w:rsidR="00403BEF" w:rsidP="00CA7BA3" w:rsidRDefault="00403BEF" w14:paraId="5A39BBE3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Pr="005002BA" w:rsidR="00403BEF" w:rsidTr="002C26F2" w14:paraId="52EF68DF" w14:textId="77777777">
        <w:trPr>
          <w:trHeight w:val="217"/>
        </w:trPr>
        <w:tc>
          <w:tcPr>
            <w:tcW w:w="2185" w:type="dxa"/>
            <w:vMerge/>
            <w:tcMar/>
            <w:vAlign w:val="center"/>
            <w:hideMark/>
          </w:tcPr>
          <w:p w:rsidRPr="005002BA" w:rsidR="00403BEF" w:rsidP="00CA7BA3" w:rsidRDefault="00403BEF" w14:paraId="41C8F396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</w:p>
        </w:tc>
        <w:tc>
          <w:tcPr>
            <w:tcW w:w="9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6E83686B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>Estrategia</w:t>
            </w:r>
          </w:p>
        </w:tc>
        <w:tc>
          <w:tcPr>
            <w:tcW w:w="57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3F671C" w:rsidRDefault="00403BEF" w14:paraId="0B99C046" w14:textId="0BA40333">
            <w:pPr>
              <w:pStyle w:val="NormalWeb"/>
              <w:spacing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C26F2" w:rsidR="00403BEF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Estrategia 3.1.1 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>Fomentar la detección integrada de factores de riesgo para hipertensión arterial, diabetes y obesidad en hombres y mujeres de 20 años y más, para prevenir o retrasar el desarrollo de estas enfermedades.</w:t>
            </w:r>
          </w:p>
        </w:tc>
        <w:tc>
          <w:tcPr>
            <w:tcW w:w="5542" w:type="dxa"/>
            <w:vMerge/>
            <w:tcMar/>
            <w:vAlign w:val="center"/>
          </w:tcPr>
          <w:p w:rsidRPr="005002BA" w:rsidR="00403BEF" w:rsidP="00CA7BA3" w:rsidRDefault="00403BEF" w14:paraId="72A3D3EC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Pr="005002BA" w:rsidR="00403BEF" w:rsidTr="002C26F2" w14:paraId="490EED2F" w14:textId="77777777">
        <w:trPr>
          <w:gridAfter w:val="1"/>
          <w:wAfter w:w="5542" w:type="dxa"/>
          <w:trHeight w:val="217"/>
        </w:trPr>
        <w:tc>
          <w:tcPr>
            <w:tcW w:w="21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01EAC605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</w:rPr>
              <w:t>Alineación a Programa Sectorial</w:t>
            </w:r>
          </w:p>
        </w:tc>
        <w:tc>
          <w:tcPr>
            <w:tcW w:w="9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116B4BB8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 xml:space="preserve">Objetivo </w:t>
            </w:r>
          </w:p>
        </w:tc>
        <w:tc>
          <w:tcPr>
            <w:tcW w:w="57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3F671C" w:rsidRDefault="00403BEF" w14:paraId="2DB7DEA1" w14:textId="26827325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2C26F2" w:rsidR="00403BEF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Objetivo Prioritario 3.1 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>Disminuir la</w:t>
            </w:r>
            <w:r w:rsidRPr="002C26F2" w:rsidR="299FAD09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 xml:space="preserve">prevalencia de las enfermedades 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>cardiometabólicas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 xml:space="preserve"> (diabetes mellitus, hipertensión arterial, obesidad y la enfermedad isquémica del corazón) en la población de 20 años y más, mediante acciones de promoción y atención a estas enfermedades.</w:t>
            </w:r>
          </w:p>
        </w:tc>
      </w:tr>
      <w:tr w:rsidRPr="005002BA" w:rsidR="00403BEF" w:rsidTr="002C26F2" w14:paraId="64673C54" w14:textId="77777777">
        <w:trPr>
          <w:gridAfter w:val="1"/>
          <w:wAfter w:w="5542" w:type="dxa"/>
          <w:trHeight w:val="325"/>
        </w:trPr>
        <w:tc>
          <w:tcPr>
            <w:tcW w:w="2185" w:type="dxa"/>
            <w:vMerge/>
            <w:tcMar/>
            <w:vAlign w:val="center"/>
            <w:hideMark/>
          </w:tcPr>
          <w:p w:rsidRPr="005002BA" w:rsidR="00403BEF" w:rsidP="00CA7BA3" w:rsidRDefault="00403BEF" w14:paraId="0D0B940D" w14:textId="77777777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971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3C477CA1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>Estrategia</w:t>
            </w:r>
          </w:p>
        </w:tc>
        <w:tc>
          <w:tcPr>
            <w:tcW w:w="57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3F671C" w:rsidRDefault="00403BEF" w14:paraId="55238AA7" w14:textId="54407E62">
            <w:pPr>
              <w:pStyle w:val="NormalWeb"/>
              <w:spacing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C26F2" w:rsidR="00403BEF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Estrategia 3.1.1 </w:t>
            </w:r>
            <w:r w:rsidRPr="002C26F2" w:rsidR="00403BEF">
              <w:rPr>
                <w:rFonts w:ascii="Arial" w:hAnsi="Arial" w:eastAsia="Arial" w:cs="Arial"/>
                <w:sz w:val="16"/>
                <w:szCs w:val="16"/>
              </w:rPr>
              <w:t>Fomentar la detección integrada de factores de riesgo para hipertensión arterial, diabetes y obesidad en hombres y mujeres de 20 años y más, para prevenir o retrasar el desarrollo de estas enfermedades.</w:t>
            </w:r>
          </w:p>
        </w:tc>
      </w:tr>
      <w:tr w:rsidRPr="005002BA" w:rsidR="00403BEF" w:rsidTr="002C26F2" w14:paraId="4509D43F" w14:textId="77777777">
        <w:trPr>
          <w:gridAfter w:val="1"/>
          <w:wAfter w:w="5542" w:type="dxa"/>
          <w:trHeight w:val="307"/>
        </w:trPr>
        <w:tc>
          <w:tcPr>
            <w:tcW w:w="21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38B16E5C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Nombre del Indicador</w:t>
            </w:r>
          </w:p>
        </w:tc>
        <w:tc>
          <w:tcPr>
            <w:tcW w:w="675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5002BA" w:rsidR="008A126F" w:rsidP="003F671C" w:rsidRDefault="008A126F" w14:paraId="7C07772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002BA">
              <w:rPr>
                <w:rFonts w:ascii="Arial" w:hAnsi="Arial" w:cs="Arial"/>
                <w:sz w:val="16"/>
                <w:szCs w:val="16"/>
              </w:rPr>
              <w:t>Tasa de mortalidad por enfermedades isquémicas del corazón</w:t>
            </w:r>
          </w:p>
          <w:p w:rsidRPr="005002BA" w:rsidR="00403BEF" w:rsidP="003F671C" w:rsidRDefault="008A126F" w14:paraId="47568AC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002BA">
              <w:rPr>
                <w:rFonts w:ascii="Arial" w:hAnsi="Arial" w:cs="Arial"/>
                <w:sz w:val="16"/>
                <w:szCs w:val="16"/>
              </w:rPr>
              <w:t>(por 100 000 habitantes)</w:t>
            </w:r>
          </w:p>
        </w:tc>
      </w:tr>
      <w:tr w:rsidRPr="005002BA" w:rsidR="00403BEF" w:rsidTr="002C26F2" w14:paraId="22F326A5" w14:textId="77777777">
        <w:trPr>
          <w:gridAfter w:val="1"/>
          <w:wAfter w:w="5542" w:type="dxa"/>
          <w:trHeight w:val="525"/>
        </w:trPr>
        <w:tc>
          <w:tcPr>
            <w:tcW w:w="21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0469FDFF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Descripción del Indicador</w:t>
            </w:r>
          </w:p>
        </w:tc>
        <w:tc>
          <w:tcPr>
            <w:tcW w:w="675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5002BA" w:rsidR="00403BEF" w:rsidP="00CA7BA3" w:rsidRDefault="008A126F" w14:paraId="18288A0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eastAsia="Arial" w:cs="Arial"/>
                <w:sz w:val="16"/>
                <w:szCs w:val="16"/>
              </w:rPr>
              <w:t>Mide el número de defunciones por enfermedad isquémica del corazón en personas de más de 20 años en el estado de Sinaloa en determinado año en comparación a la población total de ese grupo de edad.</w:t>
            </w:r>
          </w:p>
        </w:tc>
      </w:tr>
      <w:tr w:rsidRPr="005002BA" w:rsidR="00403BEF" w:rsidTr="002C26F2" w14:paraId="05F34A9E" w14:textId="77777777">
        <w:trPr>
          <w:gridAfter w:val="1"/>
          <w:wAfter w:w="5542" w:type="dxa"/>
          <w:trHeight w:val="480"/>
        </w:trPr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Población Objetivo</w:t>
            </w:r>
          </w:p>
        </w:tc>
        <w:tc>
          <w:tcPr>
            <w:tcW w:w="2775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5002BA" w:rsidR="00403BEF" w:rsidP="00CA7BA3" w:rsidRDefault="00403BEF" w14:paraId="00848B6A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Año Base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5002BA" w:rsidR="00403BEF" w:rsidP="00CA7BA3" w:rsidRDefault="00403BEF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Unidad de Medida</w:t>
            </w:r>
          </w:p>
        </w:tc>
        <w:tc>
          <w:tcPr>
            <w:tcW w:w="162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5002BA" w:rsidR="00403BEF" w:rsidP="00CA7BA3" w:rsidRDefault="00403BEF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5002BA" w:rsidR="00403BEF" w:rsidTr="002C26F2" w14:paraId="2B36FDCA" w14:textId="77777777">
        <w:trPr>
          <w:gridAfter w:val="1"/>
          <w:wAfter w:w="5542" w:type="dxa"/>
          <w:trHeight w:val="572"/>
        </w:trPr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5002BA" w:rsidR="00403BEF" w:rsidP="00CA7BA3" w:rsidRDefault="00403BEF" w14:paraId="7C862495" w14:textId="77777777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eastAsia="Arial" w:cs="Arial"/>
                <w:sz w:val="16"/>
                <w:szCs w:val="16"/>
              </w:rPr>
              <w:t>Hombres y mujeres de 20 años y más</w:t>
            </w:r>
          </w:p>
        </w:tc>
        <w:tc>
          <w:tcPr>
            <w:tcW w:w="2775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8A126F" w:rsidP="00CA7BA3" w:rsidRDefault="008A126F" w14:paraId="5DEB74E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2BA">
              <w:rPr>
                <w:rFonts w:ascii="Arial" w:hAnsi="Arial" w:cs="Arial"/>
                <w:sz w:val="16"/>
                <w:szCs w:val="16"/>
              </w:rPr>
              <w:t>142.90</w:t>
            </w:r>
          </w:p>
          <w:p w:rsidRPr="005002BA" w:rsidR="00403BEF" w:rsidP="00CA7BA3" w:rsidRDefault="00403BEF" w14:paraId="1390F59B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(2021)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CA7BA3" w:rsidRDefault="00403BEF" w14:paraId="68742D0E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Tasa</w:t>
            </w:r>
          </w:p>
        </w:tc>
        <w:tc>
          <w:tcPr>
            <w:tcW w:w="162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CA7BA3" w:rsidRDefault="00403BEF" w14:paraId="1874042C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Acumulado</w:t>
            </w:r>
          </w:p>
        </w:tc>
      </w:tr>
      <w:tr w:rsidRPr="005002BA" w:rsidR="00403BEF" w:rsidTr="002C26F2" w14:paraId="0E27B00A" w14:textId="77777777">
        <w:trPr>
          <w:gridAfter w:val="1"/>
          <w:wAfter w:w="5542" w:type="dxa"/>
          <w:trHeight w:val="50"/>
        </w:trPr>
        <w:tc>
          <w:tcPr>
            <w:tcW w:w="8936" w:type="dxa"/>
            <w:gridSpan w:val="10"/>
            <w:tcBorders>
              <w:top w:val="single" w:color="auto" w:sz="4" w:space="0"/>
            </w:tcBorders>
            <w:tcMar/>
            <w:vAlign w:val="center"/>
            <w:hideMark/>
          </w:tcPr>
          <w:p w:rsidRPr="005002BA" w:rsidR="00403BEF" w:rsidP="00CA7BA3" w:rsidRDefault="00403BEF" w14:paraId="60061E4C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Pr="005002BA" w:rsidR="00403BEF" w:rsidTr="002C26F2" w14:paraId="7C7077C8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5002BA" w:rsidR="00403BEF" w:rsidP="00CA7BA3" w:rsidRDefault="00403BEF" w14:paraId="6951EDE8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3. CUMPLIMIENTO:</w:t>
            </w:r>
          </w:p>
        </w:tc>
      </w:tr>
      <w:tr w:rsidRPr="005002BA" w:rsidR="00403BEF" w:rsidTr="002C26F2" w14:paraId="7568120B" w14:textId="77777777">
        <w:trPr>
          <w:gridAfter w:val="1"/>
          <w:wAfter w:w="5542" w:type="dxa"/>
          <w:trHeight w:val="215"/>
        </w:trPr>
        <w:tc>
          <w:tcPr>
            <w:tcW w:w="3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002BA" w:rsidR="00403BEF" w:rsidP="00CA7BA3" w:rsidRDefault="00403BEF" w14:paraId="62D80D35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 xml:space="preserve">Meta Sexenal: </w:t>
            </w:r>
          </w:p>
        </w:tc>
        <w:tc>
          <w:tcPr>
            <w:tcW w:w="593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4C681C" w:rsidRDefault="008A126F" w14:paraId="0690A0F6" w14:textId="77777777">
            <w:pPr>
              <w:rPr>
                <w:rFonts w:ascii="Arial" w:hAnsi="Arial" w:cs="Arial"/>
                <w:b/>
                <w:color w:val="C00000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eastAsia="Times New Roman" w:cs="Arial"/>
                <w:sz w:val="16"/>
                <w:szCs w:val="16"/>
              </w:rPr>
              <w:t xml:space="preserve">Mínima: </w:t>
            </w:r>
            <w:r w:rsidRPr="005002BA">
              <w:rPr>
                <w:rFonts w:ascii="Arial" w:hAnsi="Arial" w:cs="Arial"/>
                <w:sz w:val="16"/>
                <w:szCs w:val="16"/>
              </w:rPr>
              <w:t>142.90*</w:t>
            </w:r>
            <w:r w:rsidRPr="005002BA">
              <w:rPr>
                <w:rFonts w:ascii="Arial" w:hAnsi="Arial" w:eastAsia="Times New Roman" w:cs="Arial"/>
                <w:sz w:val="16"/>
                <w:szCs w:val="16"/>
              </w:rPr>
              <w:t xml:space="preserve">     Optima: </w:t>
            </w:r>
            <w:r w:rsidRPr="005002BA">
              <w:rPr>
                <w:rFonts w:ascii="Arial" w:hAnsi="Arial" w:cs="Arial"/>
                <w:sz w:val="16"/>
                <w:szCs w:val="16"/>
              </w:rPr>
              <w:t>121.62</w:t>
            </w:r>
          </w:p>
        </w:tc>
      </w:tr>
      <w:tr w:rsidRPr="005002BA" w:rsidR="00403BEF" w:rsidTr="002C26F2" w14:paraId="32DFAC07" w14:textId="77777777">
        <w:trPr>
          <w:gridAfter w:val="1"/>
          <w:wAfter w:w="5542" w:type="dxa"/>
          <w:trHeight w:val="315"/>
        </w:trPr>
        <w:tc>
          <w:tcPr>
            <w:tcW w:w="3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002BA" w:rsidR="00403BEF" w:rsidP="00CA7BA3" w:rsidRDefault="00403BEF" w14:paraId="1438E85D" w14:textId="77777777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Meta anual programada:</w:t>
            </w:r>
            <w:r w:rsidRPr="005002BA">
              <w:rPr>
                <w:rFonts w:ascii="Arial" w:hAnsi="Arial" w:eastAsia="Tahoma" w:cs="Arial"/>
                <w:sz w:val="16"/>
                <w:szCs w:val="16"/>
              </w:rPr>
              <w:t xml:space="preserve"> </w:t>
            </w:r>
          </w:p>
          <w:p w:rsidRPr="005002BA" w:rsidR="00403BEF" w:rsidP="00CA7BA3" w:rsidRDefault="004C681C" w14:paraId="70C75B93" w14:textId="5F42241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7CA28F48" w:rsidR="7CA28F48">
              <w:rPr>
                <w:rFonts w:ascii="Arial" w:hAnsi="Arial" w:eastAsia="Tahoma" w:cs="Arial"/>
                <w:sz w:val="16"/>
                <w:szCs w:val="16"/>
              </w:rPr>
              <w:t>Mínima (2025): &lt;</w:t>
            </w:r>
            <w:r w:rsidRPr="7CA28F48" w:rsidR="7CA28F48">
              <w:rPr>
                <w:rFonts w:ascii="Arial" w:hAnsi="Arial" w:cs="Arial"/>
                <w:sz w:val="16"/>
                <w:szCs w:val="16"/>
              </w:rPr>
              <w:t>142.9</w:t>
            </w:r>
            <w:r w:rsidRPr="7CA28F48" w:rsidR="7CA28F48">
              <w:rPr>
                <w:rFonts w:ascii="Arial" w:hAnsi="Arial" w:eastAsia="Tahoma" w:cs="Arial"/>
                <w:sz w:val="16"/>
                <w:szCs w:val="16"/>
              </w:rPr>
              <w:t>%</w:t>
            </w:r>
            <w:r>
              <w:br/>
            </w:r>
            <w:r w:rsidRPr="7CA28F48" w:rsidR="7CA28F48">
              <w:rPr>
                <w:rFonts w:ascii="Arial" w:hAnsi="Arial" w:eastAsia="Tahoma" w:cs="Arial"/>
                <w:sz w:val="16"/>
                <w:szCs w:val="16"/>
              </w:rPr>
              <w:t xml:space="preserve"> Óptima (2025): &lt;132.2%</w:t>
            </w:r>
          </w:p>
        </w:tc>
        <w:tc>
          <w:tcPr>
            <w:tcW w:w="13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5002BA" w:rsidR="00403BEF" w:rsidP="00CA7BA3" w:rsidRDefault="00403BEF" w14:paraId="4EE06B12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Primer Trimestre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002BA" w:rsidR="00403BEF" w:rsidP="00CA7BA3" w:rsidRDefault="00403BEF" w14:paraId="2D0CFD88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Segundo Trimestre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002BA" w:rsidR="00403BEF" w:rsidP="00CA7BA3" w:rsidRDefault="00403BEF" w14:paraId="147FC3D2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Tercer Trimestre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002BA" w:rsidR="00403BEF" w:rsidP="00CA7BA3" w:rsidRDefault="00403BEF" w14:paraId="37F234C8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Cuarto Trimestre</w:t>
            </w:r>
          </w:p>
        </w:tc>
      </w:tr>
      <w:tr w:rsidRPr="005002BA" w:rsidR="00403BEF" w:rsidTr="002C26F2" w14:paraId="48E01013" w14:textId="77777777">
        <w:trPr>
          <w:gridAfter w:val="1"/>
          <w:wAfter w:w="5542" w:type="dxa"/>
          <w:trHeight w:val="315"/>
        </w:trPr>
        <w:tc>
          <w:tcPr>
            <w:tcW w:w="3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002BA" w:rsidR="00403BEF" w:rsidP="00CA7BA3" w:rsidRDefault="00403BEF" w14:paraId="36E3C05D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34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9C1341" w:rsidR="513AE33A" w:rsidP="7CA28F48" w:rsidRDefault="513AE33A" w14:paraId="71DEC5D3" w14:textId="1146F747">
            <w:pPr>
              <w:jc w:val="center"/>
              <w:rPr>
                <w:rFonts w:ascii="Arial" w:hAnsi="Arial" w:eastAsia="Arial" w:cs="Arial"/>
                <w:b w:val="1"/>
                <w:bCs w:val="1"/>
                <w:color w:val="FF0000" w:themeColor="text1"/>
                <w:sz w:val="18"/>
                <w:szCs w:val="18"/>
                <w:lang w:val="es"/>
              </w:rPr>
            </w:pPr>
            <w:r w:rsidRPr="368A3E8B" w:rsidR="79C88CB8">
              <w:rPr>
                <w:rFonts w:ascii="Arial" w:hAnsi="Arial" w:eastAsia="Arial" w:cs="Arial"/>
                <w:b w:val="1"/>
                <w:bCs w:val="1"/>
                <w:color w:val="FF0000"/>
                <w:sz w:val="18"/>
                <w:szCs w:val="18"/>
                <w:lang w:val="es"/>
              </w:rPr>
              <w:t>155.91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C1341" w:rsidR="00403BEF" w:rsidP="61BA52EE" w:rsidRDefault="513AE33A" w14:paraId="4B94D5A5" w14:textId="624E3097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s"/>
              </w:rPr>
            </w:pPr>
            <w:r w:rsidRPr="368A3E8B" w:rsidR="61BA52EE">
              <w:rPr>
                <w:rFonts w:ascii="Arial" w:hAnsi="Arial" w:eastAsia="Arial" w:cs="Arial"/>
                <w:b w:val="1"/>
                <w:bCs w:val="1"/>
                <w:color w:val="FF0000"/>
                <w:sz w:val="18"/>
                <w:szCs w:val="18"/>
                <w:lang w:val="es"/>
              </w:rPr>
              <w:t>4</w:t>
            </w:r>
            <w:r w:rsidRPr="368A3E8B" w:rsidR="3BD55130">
              <w:rPr>
                <w:rFonts w:ascii="Arial" w:hAnsi="Arial" w:eastAsia="Arial" w:cs="Arial"/>
                <w:b w:val="1"/>
                <w:bCs w:val="1"/>
                <w:color w:val="FF0000"/>
                <w:sz w:val="18"/>
                <w:szCs w:val="18"/>
                <w:lang w:val="es"/>
              </w:rPr>
              <w:t>9.54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C1341" w:rsidR="00403BEF" w:rsidP="368A3E8B" w:rsidRDefault="15E4DB3E" w14:paraId="3DEEC669" w14:textId="629C8FC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68A3E8B" w:rsidR="287C0567">
              <w:rPr>
                <w:rFonts w:ascii="Arial" w:hAnsi="Arial" w:cs="Arial"/>
                <w:b w:val="1"/>
                <w:bCs w:val="1"/>
                <w:color w:val="FF0000"/>
                <w:sz w:val="18"/>
                <w:szCs w:val="18"/>
                <w:lang w:val="es-ES"/>
              </w:rPr>
              <w:t>39.78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C1341" w:rsidR="00403BEF" w:rsidP="15E4DB3E" w:rsidRDefault="026430B8" w14:paraId="3656B9AB" w14:textId="38099194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5002BA" w:rsidR="00403BEF" w:rsidTr="002C26F2" w14:paraId="45FB0818" w14:textId="77777777">
        <w:trPr>
          <w:gridAfter w:val="1"/>
          <w:wAfter w:w="5542" w:type="dxa"/>
          <w:trHeight w:val="71"/>
        </w:trPr>
        <w:tc>
          <w:tcPr>
            <w:tcW w:w="3003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5002BA" w:rsidR="00403BEF" w:rsidP="00CA7BA3" w:rsidRDefault="00403BEF" w14:paraId="049F31CB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  <w:tc>
          <w:tcPr>
            <w:tcW w:w="1342" w:type="dxa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002BA" w:rsidR="00403BEF" w:rsidP="00CA7BA3" w:rsidRDefault="00403BEF" w14:paraId="53128261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002BA" w:rsidR="00403BEF" w:rsidP="00CA7BA3" w:rsidRDefault="00403BEF" w14:paraId="62486C05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002BA" w:rsidR="00403BEF" w:rsidP="00CA7BA3" w:rsidRDefault="00403BEF" w14:paraId="4101652C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  <w:tc>
          <w:tcPr>
            <w:tcW w:w="1496" w:type="dxa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002BA" w:rsidR="00403BEF" w:rsidP="00CA7BA3" w:rsidRDefault="00403BEF" w14:paraId="4B99056E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Pr="005002BA" w:rsidR="00403BEF" w:rsidTr="002C26F2" w14:paraId="12ABD444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5002BA" w:rsidR="00403BEF" w:rsidP="00CA7BA3" w:rsidRDefault="004E12BB" w14:paraId="60FD6C84" w14:textId="77777777">
            <w:pPr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4</w:t>
            </w:r>
            <w:r w:rsidRPr="005002BA" w:rsidR="00403BEF">
              <w:rPr>
                <w:rFonts w:ascii="Arial" w:hAnsi="Arial" w:cs="Arial"/>
                <w:b/>
                <w:sz w:val="16"/>
                <w:szCs w:val="20"/>
                <w:lang w:val="es-ES"/>
              </w:rPr>
              <w:t>.- ACCIONES PARA EL LOGRO DE OBJETIVO: (Describir las acciones emprendidas para lograr la disminución o incremento en el cumplimiento del Indicador.</w:t>
            </w:r>
          </w:p>
        </w:tc>
      </w:tr>
      <w:tr w:rsidRPr="005002BA" w:rsidR="004E12BB" w:rsidTr="002C26F2" w14:paraId="185C6C9C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002BA" w:rsidR="004E12BB" w:rsidP="61BA52EE" w:rsidRDefault="004E12BB" w14:paraId="45DE1544" w14:textId="7F0697D1">
            <w:pPr>
              <w:pStyle w:val="Sinespaciado"/>
              <w:jc w:val="both"/>
              <w:rPr>
                <w:rFonts w:ascii="Arial" w:hAnsi="Arial" w:eastAsia="Arial" w:cs="Arial"/>
                <w:noProof w:val="0"/>
                <w:sz w:val="15"/>
                <w:szCs w:val="15"/>
                <w:lang w:val="es-MX"/>
              </w:rPr>
            </w:pPr>
            <w:r w:rsidRPr="61BA52EE" w:rsidR="61BA52EE"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  <w:t>A)</w:t>
            </w:r>
            <w:r w:rsidRPr="61BA52EE" w:rsidR="61BA52EE">
              <w:rPr>
                <w:rFonts w:ascii="Arial" w:hAnsi="Arial" w:cs="Arial"/>
                <w:sz w:val="15"/>
                <w:szCs w:val="15"/>
              </w:rPr>
              <w:t xml:space="preserve"> DATOS PRELIMINARES POR REPORTE EN DGIS. </w:t>
            </w:r>
            <w:hyperlink r:id="Rc02ef587b42748d1">
              <w:r w:rsidRPr="61BA52EE" w:rsidR="61BA52EE">
                <w:rPr>
                  <w:rStyle w:val="Hyperlink"/>
                  <w:rFonts w:ascii="Arial" w:hAnsi="Arial" w:eastAsia="Arial" w:cs="Arial"/>
                  <w:noProof w:val="0"/>
                  <w:sz w:val="15"/>
                  <w:szCs w:val="15"/>
                  <w:lang w:val="es-MX"/>
                </w:rPr>
                <w:t>Cubo Dinámico DEFUNCIONES (SEED) SS 2025</w:t>
              </w:r>
            </w:hyperlink>
            <w:r w:rsidRPr="61BA52EE" w:rsidR="61BA52EE">
              <w:rPr>
                <w:rFonts w:ascii="Arial" w:hAnsi="Arial" w:eastAsia="Arial" w:cs="Arial"/>
                <w:noProof w:val="0"/>
                <w:sz w:val="15"/>
                <w:szCs w:val="15"/>
                <w:lang w:val="es-MX"/>
              </w:rPr>
              <w:t xml:space="preserve"> 08/10/25</w:t>
            </w:r>
          </w:p>
        </w:tc>
      </w:tr>
      <w:tr w:rsidRPr="005002BA" w:rsidR="004E12BB" w:rsidTr="002C26F2" w14:paraId="0A6FBDF2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002BA" w:rsidR="004E12BB" w:rsidP="004E12BB" w:rsidRDefault="004E12BB" w14:paraId="57E69372" w14:textId="3DEA534D">
            <w:pPr>
              <w:jc w:val="both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368A3E8B" w:rsidR="004E12BB"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  <w:t>B)</w:t>
            </w:r>
            <w:r w:rsidRPr="368A3E8B" w:rsidR="004E12BB">
              <w:rPr>
                <w:rFonts w:ascii="Arial" w:hAnsi="Arial" w:cs="Arial"/>
                <w:sz w:val="15"/>
                <w:szCs w:val="15"/>
                <w:lang w:val="es-ES"/>
              </w:rPr>
              <w:t xml:space="preserve"> </w:t>
            </w:r>
            <w:r w:rsidRPr="368A3E8B" w:rsidR="1533F2E9">
              <w:rPr>
                <w:rFonts w:ascii="Arial" w:hAnsi="Arial" w:cs="Arial"/>
                <w:sz w:val="15"/>
                <w:szCs w:val="15"/>
                <w:lang w:val="es-ES"/>
              </w:rPr>
              <w:t xml:space="preserve">Tasa por población con y sin </w:t>
            </w:r>
            <w:r w:rsidRPr="368A3E8B" w:rsidR="1533F2E9">
              <w:rPr>
                <w:rFonts w:ascii="Arial" w:hAnsi="Arial" w:cs="Arial"/>
                <w:sz w:val="15"/>
                <w:szCs w:val="15"/>
                <w:lang w:val="es-ES"/>
              </w:rPr>
              <w:t>derechohabiencia</w:t>
            </w:r>
            <w:r w:rsidRPr="368A3E8B" w:rsidR="1533F2E9">
              <w:rPr>
                <w:rFonts w:ascii="Arial" w:hAnsi="Arial" w:cs="Arial"/>
                <w:sz w:val="15"/>
                <w:szCs w:val="15"/>
                <w:lang w:val="es-ES"/>
              </w:rPr>
              <w:t xml:space="preserve">. Cubo SEED </w:t>
            </w:r>
          </w:p>
        </w:tc>
      </w:tr>
      <w:tr w:rsidRPr="005002BA" w:rsidR="004E12BB" w:rsidTr="002C26F2" w14:paraId="4B89DA9B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002BA" w:rsidR="004E12BB" w:rsidP="004E12BB" w:rsidRDefault="004E12BB" w14:paraId="1463E154" w14:textId="77777777">
            <w:pPr>
              <w:pStyle w:val="Sinespaciado"/>
              <w:jc w:val="both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5002BA">
              <w:rPr>
                <w:rFonts w:ascii="Arial" w:hAnsi="Arial" w:cs="Arial"/>
                <w:b/>
                <w:sz w:val="15"/>
                <w:szCs w:val="15"/>
                <w:lang w:val="es-ES"/>
              </w:rPr>
              <w:t>C)</w:t>
            </w:r>
            <w:r w:rsidRPr="005002BA">
              <w:rPr>
                <w:rFonts w:ascii="Arial" w:hAnsi="Arial" w:cs="Arial"/>
                <w:sz w:val="15"/>
                <w:szCs w:val="15"/>
                <w:lang w:val="es-ES"/>
              </w:rPr>
              <w:t xml:space="preserve"> </w:t>
            </w:r>
          </w:p>
        </w:tc>
      </w:tr>
      <w:tr w:rsidRPr="005002BA" w:rsidR="004E12BB" w:rsidTr="002C26F2" w14:paraId="00D09A9C" w14:textId="77777777">
        <w:trPr>
          <w:gridAfter w:val="1"/>
          <w:wAfter w:w="5542" w:type="dxa"/>
          <w:trHeight w:val="3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5002BA" w:rsidR="004E12BB" w:rsidP="004C681C" w:rsidRDefault="7CF848F7" w14:paraId="67A439D4" w14:textId="77777777">
            <w:pPr>
              <w:jc w:val="both"/>
              <w:rPr>
                <w:rFonts w:ascii="Arial" w:hAnsi="Arial" w:eastAsia="Times New Roman" w:cs="Arial"/>
                <w:sz w:val="16"/>
                <w:szCs w:val="16"/>
              </w:rPr>
            </w:pPr>
            <w:r w:rsidRPr="7CF848F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s-ES"/>
              </w:rPr>
              <w:t>Observaciones: *</w:t>
            </w:r>
            <w:r w:rsidRPr="7CF848F7">
              <w:rPr>
                <w:rFonts w:ascii="Arial" w:hAnsi="Arial" w:eastAsia="Times New Roman" w:cs="Arial"/>
                <w:sz w:val="16"/>
                <w:szCs w:val="16"/>
              </w:rPr>
              <w:t xml:space="preserve"> Detener los casos o mantenerlos en la posición de la Línea base.</w:t>
            </w:r>
          </w:p>
          <w:p w:rsidRPr="005002BA" w:rsidR="004E12BB" w:rsidP="7CF848F7" w:rsidRDefault="7CF848F7" w14:paraId="2BB44A11" w14:textId="24FE52D1">
            <w:pPr>
              <w:rPr>
                <w:rFonts w:ascii="Arial" w:hAnsi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</w:pPr>
            <w:r w:rsidRPr="61BA52EE" w:rsidR="61BA52EE">
              <w:rPr>
                <w:rFonts w:ascii="Arial" w:hAnsi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>*Datos preliminares.</w:t>
            </w:r>
            <w:r w:rsidRPr="61BA52EE" w:rsidR="61BA52EE">
              <w:rPr>
                <w:rFonts w:ascii="Arial" w:hAnsi="Arial" w:eastAsia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 xml:space="preserve">  (08/10/2025)</w:t>
            </w:r>
          </w:p>
          <w:p w:rsidRPr="005002BA" w:rsidR="004E12BB" w:rsidP="7CF848F7" w:rsidRDefault="004E12BB" w14:paraId="1299C43A" w14:textId="06E4A978">
            <w:pPr>
              <w:rPr>
                <w:rFonts w:ascii="Arial" w:hAnsi="Arial" w:eastAsia="Arial" w:cs="Arial"/>
                <w:b/>
                <w:bCs/>
                <w:color w:val="FF0000"/>
                <w:sz w:val="15"/>
                <w:szCs w:val="15"/>
                <w:lang w:val="es-ES"/>
              </w:rPr>
            </w:pPr>
          </w:p>
        </w:tc>
      </w:tr>
    </w:tbl>
    <w:p w:rsidRPr="00403BEF" w:rsidR="00403BEF" w:rsidP="00403BEF" w:rsidRDefault="00403BEF" w14:paraId="4DDBEF00" w14:textId="77777777">
      <w:pPr>
        <w:tabs>
          <w:tab w:val="left" w:pos="463"/>
        </w:tabs>
        <w:rPr>
          <w:rFonts w:ascii="Arial" w:hAnsi="Arial" w:cs="Arial"/>
          <w:sz w:val="22"/>
          <w:lang w:val="es-ES"/>
        </w:rPr>
      </w:pPr>
    </w:p>
    <w:p w:rsidRPr="00B77662" w:rsidR="004E12BB" w:rsidP="004E12BB" w:rsidRDefault="00403BEF" w14:paraId="4215F1A3" w14:textId="77777777">
      <w:pPr>
        <w:jc w:val="center"/>
        <w:rPr>
          <w:rFonts w:ascii="Tahoma" w:hAnsi="Tahoma" w:cs="Tahoma"/>
          <w:b/>
          <w:sz w:val="20"/>
          <w:szCs w:val="20"/>
          <w:lang w:val="es-ES"/>
        </w:rPr>
      </w:pPr>
      <w:r w:rsidRPr="00403BEF">
        <w:rPr>
          <w:rFonts w:ascii="Arial" w:hAnsi="Arial" w:cs="Arial"/>
          <w:b/>
          <w:sz w:val="16"/>
          <w:szCs w:val="20"/>
          <w:lang w:val="es-ES"/>
        </w:rPr>
        <w:t xml:space="preserve">   </w:t>
      </w:r>
      <w:r w:rsidRPr="00B77662" w:rsidR="004E12BB">
        <w:rPr>
          <w:rFonts w:ascii="Tahoma" w:hAnsi="Tahoma" w:cs="Tahoma"/>
          <w:b/>
          <w:sz w:val="20"/>
          <w:szCs w:val="20"/>
          <w:lang w:val="es-ES"/>
        </w:rPr>
        <w:t>ELABORÓ</w:t>
      </w:r>
    </w:p>
    <w:p w:rsidRPr="00B77662" w:rsidR="004E12BB" w:rsidP="004E12BB" w:rsidRDefault="004E12BB" w14:paraId="3461D779" w14:textId="77777777">
      <w:pPr>
        <w:jc w:val="center"/>
        <w:rPr>
          <w:rFonts w:ascii="Tahoma" w:hAnsi="Tahoma" w:cs="Tahoma"/>
          <w:b/>
          <w:sz w:val="20"/>
          <w:szCs w:val="20"/>
          <w:lang w:val="es-ES"/>
        </w:rPr>
      </w:pPr>
    </w:p>
    <w:p w:rsidR="61BA52EE" w:rsidP="61BA52EE" w:rsidRDefault="61BA52EE" w14:paraId="1FEA4993" w14:textId="75BA581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Pr="61BA52EE" w:rsidR="61BA52EE">
        <w:rPr>
          <w:rFonts w:ascii="Tahoma" w:hAnsi="Tahoma" w:cs="Tahoma"/>
          <w:b w:val="1"/>
          <w:bCs w:val="1"/>
          <w:sz w:val="20"/>
          <w:szCs w:val="20"/>
          <w:lang w:val="es-ES"/>
        </w:rPr>
        <w:t>THANYA ALEXANDRA GONZALEZ RENTERÍA</w:t>
      </w:r>
    </w:p>
    <w:p w:rsidRPr="00B77662" w:rsidR="004E12BB" w:rsidP="004E12BB" w:rsidRDefault="00056F2B" w14:paraId="72F7AF8A" w14:textId="77777777">
      <w:pPr>
        <w:jc w:val="center"/>
        <w:rPr>
          <w:rFonts w:ascii="Tahoma" w:hAnsi="Tahoma" w:cs="Tahoma"/>
          <w:b/>
          <w:sz w:val="20"/>
          <w:szCs w:val="20"/>
          <w:u w:val="single"/>
          <w:lang w:val="es-ES"/>
        </w:rPr>
      </w:pPr>
      <w:r w:rsidRPr="00B77662">
        <w:rPr>
          <w:rFonts w:ascii="Tahoma" w:hAnsi="Tahoma" w:cs="Tahoma"/>
          <w:b/>
          <w:sz w:val="20"/>
          <w:szCs w:val="20"/>
          <w:u w:val="single"/>
          <w:lang w:val="es-ES"/>
        </w:rPr>
        <w:t>COORDINADOR ESTATAL DE ENFERMEDADES CARDIOMETABÓLICAS</w:t>
      </w:r>
    </w:p>
    <w:sectPr w:rsidRPr="00B77662" w:rsidR="004E12BB" w:rsidSect="00D54473">
      <w:headerReference w:type="default" r:id="rId6"/>
      <w:pgSz w:w="12240" w:h="15840" w:orient="portrait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0F0E" w:rsidP="00403BEF" w:rsidRDefault="007F0F0E" w14:paraId="0B97ED7D" w14:textId="77777777">
      <w:r>
        <w:separator/>
      </w:r>
    </w:p>
  </w:endnote>
  <w:endnote w:type="continuationSeparator" w:id="0">
    <w:p w:rsidR="007F0F0E" w:rsidP="00403BEF" w:rsidRDefault="007F0F0E" w14:paraId="388BB17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0F0E" w:rsidP="00403BEF" w:rsidRDefault="007F0F0E" w14:paraId="4424F8FF" w14:textId="77777777">
      <w:r>
        <w:separator/>
      </w:r>
    </w:p>
  </w:footnote>
  <w:footnote w:type="continuationSeparator" w:id="0">
    <w:p w:rsidR="007F0F0E" w:rsidP="00403BEF" w:rsidRDefault="007F0F0E" w14:paraId="6594FD3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03BEF" w:rsidRDefault="00403BEF" w14:paraId="5BC72463" w14:textId="777777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A9387" wp14:editId="2CBA89AC">
          <wp:simplePos x="0" y="0"/>
          <wp:positionH relativeFrom="column">
            <wp:posOffset>-745588</wp:posOffset>
          </wp:positionH>
          <wp:positionV relativeFrom="paragraph">
            <wp:posOffset>-239786</wp:posOffset>
          </wp:positionV>
          <wp:extent cx="1539875" cy="820420"/>
          <wp:effectExtent l="0" t="0" r="0" b="508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EF"/>
    <w:rsid w:val="00022A7C"/>
    <w:rsid w:val="00056F2B"/>
    <w:rsid w:val="000D13D5"/>
    <w:rsid w:val="00145C68"/>
    <w:rsid w:val="00186332"/>
    <w:rsid w:val="00247842"/>
    <w:rsid w:val="002C26F2"/>
    <w:rsid w:val="003228CD"/>
    <w:rsid w:val="003359C2"/>
    <w:rsid w:val="003362B6"/>
    <w:rsid w:val="003F671C"/>
    <w:rsid w:val="00403BEF"/>
    <w:rsid w:val="004132C5"/>
    <w:rsid w:val="004C681C"/>
    <w:rsid w:val="004E12BB"/>
    <w:rsid w:val="005002BA"/>
    <w:rsid w:val="005141FA"/>
    <w:rsid w:val="005820AF"/>
    <w:rsid w:val="005A1D78"/>
    <w:rsid w:val="006F0BF6"/>
    <w:rsid w:val="007514AB"/>
    <w:rsid w:val="007F0F0E"/>
    <w:rsid w:val="008A126F"/>
    <w:rsid w:val="0090068E"/>
    <w:rsid w:val="00915F1E"/>
    <w:rsid w:val="00937FA4"/>
    <w:rsid w:val="009627AA"/>
    <w:rsid w:val="009740AD"/>
    <w:rsid w:val="00990C9D"/>
    <w:rsid w:val="009C1341"/>
    <w:rsid w:val="00A00A0E"/>
    <w:rsid w:val="00A52F1B"/>
    <w:rsid w:val="00A802EC"/>
    <w:rsid w:val="00AC45B0"/>
    <w:rsid w:val="00B557F1"/>
    <w:rsid w:val="00B90D1D"/>
    <w:rsid w:val="00C32B0E"/>
    <w:rsid w:val="00CD0DE6"/>
    <w:rsid w:val="00D54473"/>
    <w:rsid w:val="00D91AFA"/>
    <w:rsid w:val="00DA03F9"/>
    <w:rsid w:val="00FA7E0C"/>
    <w:rsid w:val="026430B8"/>
    <w:rsid w:val="03682245"/>
    <w:rsid w:val="0DFFE496"/>
    <w:rsid w:val="1056F91D"/>
    <w:rsid w:val="1533F2E9"/>
    <w:rsid w:val="15E4DB3E"/>
    <w:rsid w:val="15F82C34"/>
    <w:rsid w:val="17342D5D"/>
    <w:rsid w:val="17FA159A"/>
    <w:rsid w:val="287C0567"/>
    <w:rsid w:val="299FAD09"/>
    <w:rsid w:val="2CCA5D0B"/>
    <w:rsid w:val="3233AA68"/>
    <w:rsid w:val="368A3E8B"/>
    <w:rsid w:val="3ABC9AE3"/>
    <w:rsid w:val="3ADAF212"/>
    <w:rsid w:val="3BD55130"/>
    <w:rsid w:val="3CCC0566"/>
    <w:rsid w:val="3E7E20F0"/>
    <w:rsid w:val="45F0A475"/>
    <w:rsid w:val="46F8CDBE"/>
    <w:rsid w:val="4CA11986"/>
    <w:rsid w:val="513AE33A"/>
    <w:rsid w:val="51F6263B"/>
    <w:rsid w:val="55CCE524"/>
    <w:rsid w:val="5A0E28E2"/>
    <w:rsid w:val="5AF501B2"/>
    <w:rsid w:val="61BA52EE"/>
    <w:rsid w:val="61E5E779"/>
    <w:rsid w:val="705E427F"/>
    <w:rsid w:val="7201D01E"/>
    <w:rsid w:val="79C88CB8"/>
    <w:rsid w:val="7C530EE5"/>
    <w:rsid w:val="7CA28F48"/>
    <w:rsid w:val="7CF8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521D2"/>
  <w15:chartTrackingRefBased/>
  <w15:docId w15:val="{1CEC55BF-FD0A-5840-A1BD-2641DFCE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403BEF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3BE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403BE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3BE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403BEF"/>
    <w:rPr>
      <w:lang w:val="es-ES"/>
    </w:rPr>
  </w:style>
  <w:style w:type="paragraph" w:styleId="NormalWeb">
    <w:name w:val="Normal (Web)"/>
    <w:basedOn w:val="Normal"/>
    <w:uiPriority w:val="99"/>
    <w:unhideWhenUsed/>
    <w:rsid w:val="00403BEF"/>
    <w:pPr>
      <w:spacing w:before="100" w:beforeAutospacing="1" w:after="100" w:afterAutospacing="1"/>
    </w:pPr>
    <w:rPr>
      <w:rFonts w:eastAsia="Times New Roman"/>
      <w:lang w:eastAsia="es-ES_tradnl"/>
    </w:rPr>
  </w:style>
  <w:style w:type="paragraph" w:styleId="Sinespaciado">
    <w:name w:val="No Spacing"/>
    <w:uiPriority w:val="1"/>
    <w:qFormat/>
    <w:rsid w:val="004E12BB"/>
    <w:rPr>
      <w:rFonts w:ascii="Times New Roman" w:hAnsi="Times New Roman" w:eastAsia="Calibri" w:cs="Times New Roman"/>
      <w:lang w:val="es-MX" w:eastAsia="es-MX"/>
    </w:rPr>
  </w:style>
  <w:style w:type="character" w:styleId="Hyperlink">
    <w:uiPriority w:val="99"/>
    <w:name w:val="Hyperlink"/>
    <w:basedOn w:val="Fuentedeprrafopredeter"/>
    <w:unhideWhenUsed/>
    <w:rsid w:val="61BA52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yperlink" Target="https://sinba.salud.gob.mx/cuboDEFUNCIONES/SEED2025" TargetMode="External" Id="Rc02ef587b42748d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Dr. Pablo Guevara</lastModifiedBy>
  <revision>28</revision>
  <dcterms:created xsi:type="dcterms:W3CDTF">2023-05-11T19:15:00.0000000Z</dcterms:created>
  <dcterms:modified xsi:type="dcterms:W3CDTF">2025-10-09T20:36:11.3357098Z</dcterms:modified>
</coreProperties>
</file>