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BEF" w:rsidR="00403BEF" w:rsidP="3ABC9AE3" w:rsidRDefault="00403BEF" w14:paraId="51E7B623" w14:textId="30C23491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3ABC9AE3" w:rsidR="3ABC9AE3">
        <w:rPr>
          <w:rFonts w:ascii="Arial" w:hAnsi="Arial" w:cs="Arial"/>
          <w:b w:val="1"/>
          <w:bCs w:val="1"/>
          <w:sz w:val="18"/>
          <w:szCs w:val="18"/>
        </w:rPr>
        <w:t xml:space="preserve">           FICHA DE REPORTE AVANCE METAS PED 2025</w:t>
      </w:r>
    </w:p>
    <w:p w:rsidRPr="000A0F24" w:rsidR="005A1D78" w:rsidP="55CCE524" w:rsidRDefault="026430B8" w14:paraId="541F7BF7" w14:textId="3002E1E3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55CCE524" w:rsidR="7CA28F48">
        <w:rPr>
          <w:rFonts w:ascii="Arial" w:hAnsi="Arial" w:cs="Arial"/>
          <w:b w:val="1"/>
          <w:bCs w:val="1"/>
          <w:sz w:val="18"/>
          <w:szCs w:val="18"/>
        </w:rPr>
        <w:t>FECHA: 02/</w:t>
      </w:r>
      <w:r w:rsidRPr="55CCE524" w:rsidR="3CCC0566">
        <w:rPr>
          <w:rFonts w:ascii="Arial" w:hAnsi="Arial" w:cs="Arial"/>
          <w:b w:val="1"/>
          <w:bCs w:val="1"/>
          <w:sz w:val="18"/>
          <w:szCs w:val="18"/>
        </w:rPr>
        <w:t>JULIO</w:t>
      </w:r>
      <w:r w:rsidRPr="55CCE524" w:rsidR="7CA28F48">
        <w:rPr>
          <w:rFonts w:ascii="Arial" w:hAnsi="Arial" w:cs="Arial"/>
          <w:b w:val="1"/>
          <w:bCs w:val="1"/>
          <w:sz w:val="18"/>
          <w:szCs w:val="18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818"/>
        <w:gridCol w:w="153"/>
        <w:gridCol w:w="711"/>
        <w:gridCol w:w="478"/>
        <w:gridCol w:w="1433"/>
        <w:gridCol w:w="128"/>
        <w:gridCol w:w="1406"/>
        <w:gridCol w:w="128"/>
        <w:gridCol w:w="1496"/>
        <w:gridCol w:w="5542"/>
      </w:tblGrid>
      <w:tr w:rsidRPr="005002BA" w:rsidR="00403BEF" w:rsidTr="55CCE524" w14:paraId="42B9B533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002BA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Pr="005002BA" w:rsidR="00403BEF" w:rsidP="00CA7BA3" w:rsidRDefault="026430B8" w14:paraId="27E66B24" w14:textId="7323DC36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5CCE524" w:rsidR="7CA28F4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DE REPORTE DE INDICADORES PED 2022 –2027 - </w:t>
            </w:r>
            <w:r w:rsidRPr="55CCE524" w:rsidR="7C530EE5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SEGUNDO</w:t>
            </w:r>
            <w:r w:rsidRPr="55CCE524" w:rsidR="7CA28F4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5002BA" w:rsidR="00403BEF" w:rsidTr="55CCE524" w14:paraId="474CB100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</w:p>
        </w:tc>
      </w:tr>
      <w:tr w:rsidRPr="005002BA" w:rsidR="00403BEF" w:rsidTr="55CCE524" w14:paraId="0F68D40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77AFBE14" w14:textId="7777777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002BA" w:rsidR="00403BEF" w:rsidTr="55CCE524" w14:paraId="1A16BFC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473F9D83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Tel: 7587000 Ext.:40399</w:t>
            </w:r>
          </w:p>
          <w:p w:rsidRPr="005002BA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002BA" w:rsidR="00403BEF" w:rsidTr="55CCE524" w14:paraId="0A37501D" w14:textId="77777777">
        <w:trPr>
          <w:gridAfter w:val="1"/>
          <w:wAfter w:w="5542" w:type="dxa"/>
          <w:trHeight w:val="7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002BA" w:rsidR="00403BEF" w:rsidP="00CA7BA3" w:rsidRDefault="00403BEF" w14:paraId="5DAB6C7B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33665159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5002BA" w:rsidR="00403BEF" w:rsidTr="55CCE524" w14:paraId="24A3EF8E" w14:textId="77777777">
        <w:trPr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424EA9AE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586F04F9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BA14466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I.</w:t>
            </w: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2" w:type="dxa"/>
            <w:vMerge w:val="restart"/>
            <w:tcMar/>
            <w:vAlign w:val="center"/>
          </w:tcPr>
          <w:p w:rsidRPr="005002BA" w:rsidR="00403BEF" w:rsidP="00CA7BA3" w:rsidRDefault="00403BEF" w14:paraId="02EB378F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12C4D419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6A05A809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52ADDA2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662EBA0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Objetivo Prioritario 3.1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5A39BBE3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52EF68DF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41C8F396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E83686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0B99C046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Estrategia 3.1.1         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72A3D3E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490EED2F" w14:textId="77777777">
        <w:trPr>
          <w:gridAfter w:val="1"/>
          <w:wAfter w:w="5542" w:type="dxa"/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1EAC60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116B4BB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2DB7DEA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Objetivo Prioritario 3.1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5002BA" w:rsidR="00403BEF" w:rsidTr="55CCE524" w14:paraId="64673C54" w14:textId="77777777">
        <w:trPr>
          <w:gridAfter w:val="1"/>
          <w:wAfter w:w="5542" w:type="dxa"/>
          <w:trHeight w:val="325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0D0B940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71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C477CA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55238AA7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Estrategia 3.1.1         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5002BA" w:rsidR="00403BEF" w:rsidTr="55CCE524" w14:paraId="4509D43F" w14:textId="77777777">
        <w:trPr>
          <w:gridAfter w:val="1"/>
          <w:wAfter w:w="5542" w:type="dxa"/>
          <w:trHeight w:val="307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8B16E5C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02BA" w:rsidR="008A126F" w:rsidP="003F671C" w:rsidRDefault="008A126F" w14:paraId="7C0777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Tasa de mortalidad por enfermedades isquémicas del corazón</w:t>
            </w:r>
          </w:p>
          <w:p w:rsidRPr="005002BA" w:rsidR="00403BEF" w:rsidP="003F671C" w:rsidRDefault="008A126F" w14:paraId="47568A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(por 100 000 habitantes)</w:t>
            </w:r>
          </w:p>
        </w:tc>
      </w:tr>
      <w:tr w:rsidRPr="005002BA" w:rsidR="00403BEF" w:rsidTr="55CCE524" w14:paraId="22F326A5" w14:textId="77777777">
        <w:trPr>
          <w:gridAfter w:val="1"/>
          <w:wAfter w:w="5542" w:type="dxa"/>
          <w:trHeight w:val="525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469FDFF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Descripción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03BEF" w:rsidP="00CA7BA3" w:rsidRDefault="008A126F" w14:paraId="18288A0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Mide el número de defunciones por enfermedad isquémica del corazón en personas de más de 20 años en el estado de Sinaloa en determinado año en comparación a la población total de ese grupo de edad.</w:t>
            </w:r>
          </w:p>
        </w:tc>
      </w:tr>
      <w:tr w:rsidRPr="005002BA" w:rsidR="00403BEF" w:rsidTr="55CCE524" w14:paraId="05F34A9E" w14:textId="77777777">
        <w:trPr>
          <w:gridAfter w:val="1"/>
          <w:wAfter w:w="5542" w:type="dxa"/>
          <w:trHeight w:val="480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002BA" w:rsidR="00403BEF" w:rsidTr="55CCE524" w14:paraId="2B36FDCA" w14:textId="77777777">
        <w:trPr>
          <w:gridAfter w:val="1"/>
          <w:wAfter w:w="5542" w:type="dxa"/>
          <w:trHeight w:val="572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02BA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8A126F" w:rsidP="00CA7BA3" w:rsidRDefault="008A126F" w14:paraId="5DEB74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142.90</w:t>
            </w:r>
          </w:p>
          <w:p w:rsidRPr="005002BA" w:rsidR="00403BEF" w:rsidP="00CA7BA3" w:rsidRDefault="00403BEF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5002BA" w:rsidR="00403BEF" w:rsidTr="55CCE524" w14:paraId="0E27B00A" w14:textId="77777777">
        <w:trPr>
          <w:gridAfter w:val="1"/>
          <w:wAfter w:w="5542" w:type="dxa"/>
          <w:trHeight w:val="5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5002BA" w:rsidR="00403BEF" w:rsidP="00CA7BA3" w:rsidRDefault="00403BEF" w14:paraId="60061E4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7C7077C8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002BA" w:rsidR="00403BEF" w:rsidP="00CA7BA3" w:rsidRDefault="00403BEF" w14:paraId="6951EDE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5002BA" w:rsidR="00403BEF" w:rsidTr="55CCE524" w14:paraId="7568120B" w14:textId="77777777">
        <w:trPr>
          <w:gridAfter w:val="1"/>
          <w:wAfter w:w="5542" w:type="dxa"/>
          <w:trHeight w:val="2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62D80D3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4C681C" w:rsidRDefault="008A126F" w14:paraId="0690A0F6" w14:textId="77777777">
            <w:pPr>
              <w:rPr>
                <w:rFonts w:ascii="Arial" w:hAnsi="Arial" w:cs="Arial"/>
                <w:b/>
                <w:color w:val="C00000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Mínima: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142.90*</w:t>
            </w: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     Optima: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121.62</w:t>
            </w:r>
          </w:p>
        </w:tc>
      </w:tr>
      <w:tr w:rsidRPr="005002BA" w:rsidR="00403BEF" w:rsidTr="55CCE524" w14:paraId="32DFAC07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Meta anual programada:</w:t>
            </w:r>
            <w:r w:rsidRPr="005002B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5002BA" w:rsidR="00403BEF" w:rsidP="00CA7BA3" w:rsidRDefault="004C681C" w14:paraId="70C75B93" w14:textId="5F42241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7CA28F48" w:rsidR="7CA28F48">
              <w:rPr>
                <w:rFonts w:ascii="Arial" w:hAnsi="Arial" w:cs="Arial"/>
                <w:sz w:val="16"/>
                <w:szCs w:val="16"/>
              </w:rPr>
              <w:t>142.9</w:t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 xml:space="preserve"> Óptima (2025): &lt;132.2%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Pr="005002BA" w:rsidR="00403BEF" w:rsidTr="55CCE524" w14:paraId="48E01013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36E3C05D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1341" w:rsidR="513AE33A" w:rsidP="7CA28F48" w:rsidRDefault="513AE33A" w14:paraId="71DEC5D3" w14:textId="7FE66A53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8"/>
                <w:szCs w:val="18"/>
                <w:lang w:val="es"/>
              </w:rPr>
            </w:pPr>
            <w:r w:rsidRPr="61E5E779" w:rsidR="5A0E28E2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37.12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55CCE524" w:rsidRDefault="513AE33A" w14:paraId="4B94D5A5" w14:textId="180B6D4F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8"/>
                <w:szCs w:val="18"/>
                <w:lang w:val="es"/>
              </w:rPr>
            </w:pPr>
            <w:r w:rsidRPr="55CCE524" w:rsidR="5A0E28E2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5.41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7201D01E" w:rsidRDefault="15E4DB3E" w14:paraId="3DEEC669" w14:textId="0DD14EFD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15E4DB3E" w:rsidRDefault="026430B8" w14:paraId="3656B9AB" w14:textId="38099194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002BA" w:rsidR="00403BEF" w:rsidTr="55CCE524" w14:paraId="45FB0818" w14:textId="77777777">
        <w:trPr>
          <w:gridAfter w:val="1"/>
          <w:wAfter w:w="5542" w:type="dxa"/>
          <w:trHeight w:val="71"/>
        </w:trPr>
        <w:tc>
          <w:tcPr>
            <w:tcW w:w="30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049F31C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5312826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62486C05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101652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B99056E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55CCE524" w14:paraId="12ABD444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E12BB" w14:paraId="60FD6C84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4</w:t>
            </w:r>
            <w:r w:rsidRPr="005002BA" w:rsidR="00403BEF">
              <w:rPr>
                <w:rFonts w:ascii="Arial" w:hAnsi="Arial" w:cs="Arial"/>
                <w:b/>
                <w:sz w:val="16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5002BA" w:rsidR="004E12BB" w:rsidTr="55CCE524" w14:paraId="185C6C9C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45DE154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A)</w:t>
            </w:r>
            <w:r w:rsidRPr="005002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Pr="005002BA" w:rsidR="004E12BB" w:rsidTr="55CCE524" w14:paraId="0A6FBDF2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57E69372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B)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55CCE524" w14:paraId="4B89DA9B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55CCE524" w14:paraId="00D09A9C" w14:textId="77777777">
        <w:trPr>
          <w:gridAfter w:val="1"/>
          <w:wAfter w:w="5542" w:type="dxa"/>
          <w:trHeight w:val="3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E12BB" w:rsidP="004C681C" w:rsidRDefault="7CF848F7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7CF848F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Observaciones: *</w:t>
            </w:r>
            <w:r w:rsidRPr="7CF848F7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5002BA" w:rsidR="004E12BB" w:rsidP="7CF848F7" w:rsidRDefault="7CF848F7" w14:paraId="2BB44A11" w14:textId="0BD96D15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</w:pPr>
            <w:r w:rsidRPr="61E5E779" w:rsidR="7CA28F4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</w:t>
            </w:r>
            <w:r w:rsidRPr="61E5E779" w:rsidR="7CA28F48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  (0</w:t>
            </w:r>
            <w:r w:rsidRPr="61E5E779" w:rsidR="3E7E20F0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1</w:t>
            </w:r>
            <w:r w:rsidRPr="61E5E779" w:rsidR="7CA28F48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/0</w:t>
            </w:r>
            <w:r w:rsidRPr="61E5E779" w:rsidR="705E427F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6</w:t>
            </w:r>
            <w:r w:rsidRPr="61E5E779" w:rsidR="7CA28F48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/2025)</w:t>
            </w:r>
          </w:p>
          <w:p w:rsidRPr="005002BA" w:rsidR="004E12BB" w:rsidP="7CF848F7" w:rsidRDefault="004E12BB" w14:paraId="1299C43A" w14:textId="06E4A978">
            <w:pPr>
              <w:rPr>
                <w:rFonts w:ascii="Arial" w:hAnsi="Arial" w:eastAsia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4E12BB" w:rsidP="004E12BB" w:rsidRDefault="00403BEF" w14:paraId="4215F1A3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403BEF">
        <w:rPr>
          <w:rFonts w:ascii="Arial" w:hAnsi="Arial" w:cs="Arial"/>
          <w:b/>
          <w:sz w:val="16"/>
          <w:szCs w:val="20"/>
          <w:lang w:val="es-ES"/>
        </w:rPr>
        <w:t xml:space="preserve">   </w:t>
      </w:r>
      <w:r w:rsidRPr="00B77662" w:rsidR="004E12BB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4E12BB" w:rsidP="004E12BB" w:rsidRDefault="004E12BB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Pr="00990C9D" w:rsidR="00056F2B" w:rsidP="61E5E779" w:rsidRDefault="00056F2B" w14:paraId="23E7AB50" w14:textId="4CE1F9D8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  <w:r w:rsidRPr="61E5E779" w:rsidR="00056F2B">
        <w:rPr>
          <w:rFonts w:ascii="Tahoma" w:hAnsi="Tahoma" w:cs="Tahoma"/>
          <w:b w:val="1"/>
          <w:bCs w:val="1"/>
          <w:sz w:val="20"/>
          <w:szCs w:val="20"/>
          <w:lang w:val="es-ES"/>
        </w:rPr>
        <w:t>DR</w:t>
      </w:r>
      <w:r w:rsidRPr="61E5E779" w:rsidR="5AF501B2">
        <w:rPr>
          <w:rFonts w:ascii="Tahoma" w:hAnsi="Tahoma" w:cs="Tahoma"/>
          <w:b w:val="1"/>
          <w:bCs w:val="1"/>
          <w:sz w:val="20"/>
          <w:szCs w:val="20"/>
          <w:lang w:val="es-ES"/>
        </w:rPr>
        <w:t>A. DIANA GABRIELA LOPEZ CHAVIRA</w:t>
      </w:r>
    </w:p>
    <w:p w:rsidRPr="00B77662" w:rsidR="004E12BB" w:rsidP="004E12BB" w:rsidRDefault="00056F2B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sectPr w:rsidRPr="00B77662" w:rsidR="004E12BB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0E" w:rsidP="00403BEF" w:rsidRDefault="007F0F0E" w14:paraId="0B97ED7D" w14:textId="77777777">
      <w:r>
        <w:separator/>
      </w:r>
    </w:p>
  </w:endnote>
  <w:endnote w:type="continuationSeparator" w:id="0">
    <w:p w:rsidR="007F0F0E" w:rsidP="00403BEF" w:rsidRDefault="007F0F0E" w14:paraId="388BB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0E" w:rsidP="00403BEF" w:rsidRDefault="007F0F0E" w14:paraId="4424F8FF" w14:textId="77777777">
      <w:r>
        <w:separator/>
      </w:r>
    </w:p>
  </w:footnote>
  <w:footnote w:type="continuationSeparator" w:id="0">
    <w:p w:rsidR="007F0F0E" w:rsidP="00403BEF" w:rsidRDefault="007F0F0E" w14:paraId="6594F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22A7C"/>
    <w:rsid w:val="00056F2B"/>
    <w:rsid w:val="000D13D5"/>
    <w:rsid w:val="00145C68"/>
    <w:rsid w:val="00186332"/>
    <w:rsid w:val="00247842"/>
    <w:rsid w:val="003228CD"/>
    <w:rsid w:val="003359C2"/>
    <w:rsid w:val="003362B6"/>
    <w:rsid w:val="003F671C"/>
    <w:rsid w:val="00403BEF"/>
    <w:rsid w:val="004132C5"/>
    <w:rsid w:val="004C681C"/>
    <w:rsid w:val="004E12BB"/>
    <w:rsid w:val="005002BA"/>
    <w:rsid w:val="005141FA"/>
    <w:rsid w:val="005820AF"/>
    <w:rsid w:val="005A1D78"/>
    <w:rsid w:val="006F0BF6"/>
    <w:rsid w:val="007514AB"/>
    <w:rsid w:val="007F0F0E"/>
    <w:rsid w:val="008A126F"/>
    <w:rsid w:val="0090068E"/>
    <w:rsid w:val="00915F1E"/>
    <w:rsid w:val="00937FA4"/>
    <w:rsid w:val="009627AA"/>
    <w:rsid w:val="009740AD"/>
    <w:rsid w:val="00990C9D"/>
    <w:rsid w:val="009C1341"/>
    <w:rsid w:val="00A00A0E"/>
    <w:rsid w:val="00A52F1B"/>
    <w:rsid w:val="00A802EC"/>
    <w:rsid w:val="00AC45B0"/>
    <w:rsid w:val="00B557F1"/>
    <w:rsid w:val="00B90D1D"/>
    <w:rsid w:val="00C32B0E"/>
    <w:rsid w:val="00CD0DE6"/>
    <w:rsid w:val="00D54473"/>
    <w:rsid w:val="00D91AFA"/>
    <w:rsid w:val="00DA03F9"/>
    <w:rsid w:val="00FA7E0C"/>
    <w:rsid w:val="026430B8"/>
    <w:rsid w:val="03682245"/>
    <w:rsid w:val="15E4DB3E"/>
    <w:rsid w:val="15F82C34"/>
    <w:rsid w:val="2CCA5D0B"/>
    <w:rsid w:val="3233AA68"/>
    <w:rsid w:val="3ABC9AE3"/>
    <w:rsid w:val="3CCC0566"/>
    <w:rsid w:val="3E7E20F0"/>
    <w:rsid w:val="45F0A475"/>
    <w:rsid w:val="513AE33A"/>
    <w:rsid w:val="55CCE524"/>
    <w:rsid w:val="5A0E28E2"/>
    <w:rsid w:val="5AF501B2"/>
    <w:rsid w:val="61E5E779"/>
    <w:rsid w:val="705E427F"/>
    <w:rsid w:val="7201D01E"/>
    <w:rsid w:val="7C530EE5"/>
    <w:rsid w:val="7CA28F48"/>
    <w:rsid w:val="7C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21D2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4E12BB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Diana Chavira</lastModifiedBy>
  <revision>24</revision>
  <dcterms:created xsi:type="dcterms:W3CDTF">2023-05-11T19:15:00.0000000Z</dcterms:created>
  <dcterms:modified xsi:type="dcterms:W3CDTF">2025-07-02T21:30:17.5384772Z</dcterms:modified>
</coreProperties>
</file>