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EC6A" w14:textId="56C43D01" w:rsidR="0057250F" w:rsidRPr="0057250F" w:rsidRDefault="0057250F" w:rsidP="0057250F">
      <w:pPr>
        <w:contextualSpacing/>
        <w:jc w:val="right"/>
        <w:rPr>
          <w:rFonts w:ascii="Arial" w:hAnsi="Arial" w:cs="Arial"/>
          <w:sz w:val="16"/>
          <w:szCs w:val="16"/>
        </w:rPr>
      </w:pPr>
      <w:r w:rsidRPr="0057250F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D12CAA">
        <w:rPr>
          <w:rFonts w:ascii="Arial" w:hAnsi="Arial" w:cs="Arial"/>
          <w:b/>
          <w:sz w:val="16"/>
          <w:szCs w:val="16"/>
        </w:rPr>
        <w:t>6</w:t>
      </w:r>
    </w:p>
    <w:p w14:paraId="2517FDD2" w14:textId="7FDE3099" w:rsidR="009C3B4B" w:rsidRPr="0057250F" w:rsidRDefault="49BC1E1B" w:rsidP="4B780CCA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 w:rsidRPr="02CCF390">
        <w:rPr>
          <w:rFonts w:ascii="Arial" w:hAnsi="Arial" w:cs="Arial"/>
          <w:b/>
          <w:bCs/>
          <w:sz w:val="16"/>
          <w:szCs w:val="16"/>
        </w:rPr>
        <w:t xml:space="preserve">FECHA: </w:t>
      </w:r>
      <w:r w:rsidR="00B01ACB">
        <w:rPr>
          <w:rFonts w:ascii="Arial" w:hAnsi="Arial" w:cs="Arial"/>
          <w:b/>
          <w:bCs/>
          <w:sz w:val="16"/>
          <w:szCs w:val="16"/>
          <w:u w:val="single"/>
        </w:rPr>
        <w:t>10</w:t>
      </w:r>
      <w:r w:rsidR="00863069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="00A7250E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D12CAA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Pr="02CCF390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00A7250E">
        <w:rPr>
          <w:rFonts w:ascii="Arial" w:hAnsi="Arial" w:cs="Arial"/>
          <w:b/>
          <w:bCs/>
          <w:sz w:val="16"/>
          <w:szCs w:val="16"/>
          <w:u w:val="single"/>
        </w:rPr>
        <w:t>6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06"/>
        <w:gridCol w:w="431"/>
        <w:gridCol w:w="1019"/>
        <w:gridCol w:w="1341"/>
        <w:gridCol w:w="128"/>
        <w:gridCol w:w="1537"/>
        <w:gridCol w:w="431"/>
        <w:gridCol w:w="935"/>
        <w:gridCol w:w="292"/>
        <w:gridCol w:w="1442"/>
        <w:gridCol w:w="5512"/>
      </w:tblGrid>
      <w:tr w:rsidR="009C3B4B" w:rsidRPr="0057250F" w14:paraId="2517FDD5" w14:textId="77777777" w:rsidTr="02CCF390">
        <w:trPr>
          <w:gridAfter w:val="1"/>
          <w:wAfter w:w="5512" w:type="dxa"/>
          <w:trHeight w:val="24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517FDD3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2517FDD4" w14:textId="52977CCB" w:rsidR="009C3B4B" w:rsidRPr="0057250F" w:rsidRDefault="49BC1E1B" w:rsidP="00A435D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9BC1E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D12CA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49BC1E1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D12CA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="009C3B4B" w:rsidRPr="0057250F" w14:paraId="2517FDD7" w14:textId="77777777" w:rsidTr="02CCF390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517FDD6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9C3B4B" w:rsidRPr="0057250F" w14:paraId="2517FDDA" w14:textId="77777777" w:rsidTr="02CCF390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DD8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4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517FDD9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 Cáncer</w:t>
            </w:r>
          </w:p>
        </w:tc>
      </w:tr>
      <w:tr w:rsidR="009C3B4B" w:rsidRPr="0057250F" w14:paraId="2517FDDD" w14:textId="77777777" w:rsidTr="02CCF390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DDB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46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517FDDC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9C3B4B" w:rsidRPr="0057250F" w14:paraId="2517FDE0" w14:textId="77777777" w:rsidTr="02CCF390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DDE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46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517FDDF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9C3B4B" w:rsidRPr="0057250F" w14:paraId="2517FDE5" w14:textId="77777777" w:rsidTr="02CCF390">
        <w:trPr>
          <w:gridAfter w:val="1"/>
          <w:wAfter w:w="5512" w:type="dxa"/>
          <w:trHeight w:val="315"/>
        </w:trPr>
        <w:tc>
          <w:tcPr>
            <w:tcW w:w="432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DE1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46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2517FDE2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2517FDE3" w14:textId="77777777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2517FDE4" w14:textId="6C6503CE" w:rsidR="009C3B4B" w:rsidRPr="0057250F" w:rsidRDefault="009C3B4B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r w:rsidRPr="00065E5A">
              <w:rPr>
                <w:rFonts w:ascii="Arial" w:hAnsi="Arial" w:cs="Arial"/>
                <w:sz w:val="16"/>
                <w:szCs w:val="16"/>
                <w:lang w:val="es-ES"/>
              </w:rPr>
              <w:t>gerardo.inzunza@saludsinaloa.gob.mx</w:t>
            </w:r>
          </w:p>
        </w:tc>
      </w:tr>
      <w:tr w:rsidR="009C3B4B" w:rsidRPr="0057250F" w14:paraId="2517FDE7" w14:textId="77777777" w:rsidTr="02CCF390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517FDE6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9C3B4B" w:rsidRPr="0057250F" w14:paraId="2517FDE9" w14:textId="77777777" w:rsidTr="02CCF390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517FDE8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9C3B4B" w:rsidRPr="0057250F" w14:paraId="2517FDEE" w14:textId="77777777" w:rsidTr="02CCF390">
        <w:trPr>
          <w:trHeight w:val="217"/>
        </w:trPr>
        <w:tc>
          <w:tcPr>
            <w:tcW w:w="1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EA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EB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517FDEC" w14:textId="1666E0B0" w:rsidR="009C3B4B" w:rsidRPr="0057250F" w:rsidRDefault="0058563F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EA4CE4" w:rsidRPr="0057250F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</w:p>
        </w:tc>
        <w:tc>
          <w:tcPr>
            <w:tcW w:w="5512" w:type="dxa"/>
            <w:vMerge w:val="restart"/>
            <w:vAlign w:val="center"/>
          </w:tcPr>
          <w:p w14:paraId="2517FDED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B4B" w:rsidRPr="0057250F" w14:paraId="2517FDF3" w14:textId="77777777" w:rsidTr="02CCF390">
        <w:trPr>
          <w:trHeight w:val="217"/>
        </w:trPr>
        <w:tc>
          <w:tcPr>
            <w:tcW w:w="1409" w:type="dxa"/>
            <w:gridSpan w:val="2"/>
            <w:vMerge/>
            <w:vAlign w:val="center"/>
            <w:hideMark/>
          </w:tcPr>
          <w:p w14:paraId="2517FDEF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0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517FDF1" w14:textId="1E83B9FE" w:rsidR="009C3B4B" w:rsidRPr="0057250F" w:rsidRDefault="0058563F" w:rsidP="0058563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  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5512" w:type="dxa"/>
            <w:vMerge/>
            <w:vAlign w:val="center"/>
          </w:tcPr>
          <w:p w14:paraId="2517FDF2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B4B" w:rsidRPr="0057250F" w14:paraId="2517FDF8" w14:textId="77777777" w:rsidTr="02CCF390">
        <w:trPr>
          <w:trHeight w:val="217"/>
        </w:trPr>
        <w:tc>
          <w:tcPr>
            <w:tcW w:w="1409" w:type="dxa"/>
            <w:gridSpan w:val="2"/>
            <w:vMerge/>
            <w:vAlign w:val="center"/>
            <w:hideMark/>
          </w:tcPr>
          <w:p w14:paraId="2517FDF4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5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517FDF6" w14:textId="70524090" w:rsidR="009C3B4B" w:rsidRPr="0057250F" w:rsidRDefault="0058563F" w:rsidP="0058563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1.1.2 Mejorar la detección y diagnóstico oportuno del cáncer en la mujer. </w:t>
            </w:r>
          </w:p>
        </w:tc>
        <w:tc>
          <w:tcPr>
            <w:tcW w:w="5512" w:type="dxa"/>
            <w:vMerge/>
            <w:vAlign w:val="center"/>
          </w:tcPr>
          <w:p w14:paraId="2517FDF7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8563F" w:rsidRPr="0057250F" w14:paraId="2517FDFC" w14:textId="77777777" w:rsidTr="02CCF390">
        <w:trPr>
          <w:gridAfter w:val="1"/>
          <w:wAfter w:w="5512" w:type="dxa"/>
          <w:trHeight w:val="217"/>
        </w:trPr>
        <w:tc>
          <w:tcPr>
            <w:tcW w:w="14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9" w14:textId="77777777" w:rsidR="0058563F" w:rsidRPr="0057250F" w:rsidRDefault="0058563F" w:rsidP="0058563F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A" w14:textId="77777777" w:rsidR="0058563F" w:rsidRPr="0057250F" w:rsidRDefault="0058563F" w:rsidP="0058563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517FDFB" w14:textId="48A823C0" w:rsidR="0058563F" w:rsidRPr="0057250F" w:rsidRDefault="0058563F" w:rsidP="0058563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  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58563F" w:rsidRPr="0057250F" w14:paraId="2517FE00" w14:textId="77777777" w:rsidTr="02CCF390">
        <w:trPr>
          <w:gridAfter w:val="1"/>
          <w:wAfter w:w="5512" w:type="dxa"/>
          <w:trHeight w:val="325"/>
        </w:trPr>
        <w:tc>
          <w:tcPr>
            <w:tcW w:w="1409" w:type="dxa"/>
            <w:gridSpan w:val="2"/>
            <w:vMerge/>
            <w:vAlign w:val="center"/>
            <w:hideMark/>
          </w:tcPr>
          <w:p w14:paraId="2517FDFD" w14:textId="77777777" w:rsidR="0058563F" w:rsidRPr="0057250F" w:rsidRDefault="0058563F" w:rsidP="0058563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DFE" w14:textId="77777777" w:rsidR="0058563F" w:rsidRPr="0057250F" w:rsidRDefault="0058563F" w:rsidP="0058563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517FDFF" w14:textId="6E148789" w:rsidR="0058563F" w:rsidRPr="0057250F" w:rsidRDefault="0058563F" w:rsidP="0058563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 xml:space="preserve">1.1.2 Mejorar la detección y diagnóstico oportuno del cáncer en la mujer. </w:t>
            </w:r>
          </w:p>
        </w:tc>
      </w:tr>
      <w:tr w:rsidR="009C3B4B" w:rsidRPr="0057250F" w14:paraId="2517FE04" w14:textId="77777777" w:rsidTr="02CCF390">
        <w:trPr>
          <w:gridAfter w:val="1"/>
          <w:wAfter w:w="5512" w:type="dxa"/>
          <w:trHeight w:val="52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7FE01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79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2517FE02" w14:textId="77777777" w:rsidR="009C3B4B" w:rsidRPr="0057250F" w:rsidRDefault="009C3B4B" w:rsidP="00AB7E24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57250F">
              <w:rPr>
                <w:rFonts w:ascii="Arial" w:hAnsi="Arial" w:cs="Arial"/>
                <w:sz w:val="16"/>
                <w:szCs w:val="16"/>
              </w:rPr>
              <w:t>7.1.- Realizar 68% detecciones de Cáncer Cérvico Uterino mediante el estudio de Citología Cervical de 1ra vez en mujeres de 25 a 64 años de población abierta en los últimos 3 años.</w:t>
            </w:r>
          </w:p>
          <w:p w14:paraId="2517FE03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9C3B4B" w:rsidRPr="0057250F" w14:paraId="2517FE07" w14:textId="77777777" w:rsidTr="02CCF390">
        <w:trPr>
          <w:gridAfter w:val="1"/>
          <w:wAfter w:w="5512" w:type="dxa"/>
          <w:trHeight w:val="52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7FE05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79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2517FE06" w14:textId="77777777" w:rsidR="009C3B4B" w:rsidRPr="0057250F" w:rsidRDefault="009C3B4B" w:rsidP="00AB7E24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57250F"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  <w:t>Identificar de manera temprana lesiones premalignas a cáncer y/o cáncer de cuello uterino</w:t>
            </w:r>
          </w:p>
        </w:tc>
      </w:tr>
      <w:tr w:rsidR="009C3B4B" w:rsidRPr="0057250F" w14:paraId="2517FE0C" w14:textId="77777777" w:rsidTr="02CCF390">
        <w:trPr>
          <w:gridAfter w:val="1"/>
          <w:wAfter w:w="5512" w:type="dxa"/>
          <w:trHeight w:val="48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7FE08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4887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17FE09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17FE0A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517FE0B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9C3B4B" w:rsidRPr="0057250F" w14:paraId="2517FE11" w14:textId="77777777" w:rsidTr="02CCF390">
        <w:trPr>
          <w:gridAfter w:val="1"/>
          <w:wAfter w:w="5512" w:type="dxa"/>
          <w:trHeight w:val="48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7FE0D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55,773  </w:t>
            </w:r>
          </w:p>
        </w:tc>
        <w:tc>
          <w:tcPr>
            <w:tcW w:w="4887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</w:tcPr>
          <w:p w14:paraId="2517FE0E" w14:textId="120707A2" w:rsidR="009C3B4B" w:rsidRPr="0057250F" w:rsidRDefault="009C3B4B" w:rsidP="00AB7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Estudios de </w:t>
            </w:r>
            <w:r w:rsidR="000B4ED6"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Papanicolaou</w:t>
            </w: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de primera vez a mujeres de 25 a 64 años de edad/ número de citologías programadas en el periodo x 100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2517FE0F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vAlign w:val="center"/>
          </w:tcPr>
          <w:p w14:paraId="2517FE10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9C3B4B" w:rsidRPr="0057250F" w14:paraId="2517FE17" w14:textId="77777777" w:rsidTr="02CCF390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517FE16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9C3B4B" w:rsidRPr="0057250F" w14:paraId="2517FE1A" w14:textId="77777777" w:rsidTr="000D51B7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E18" w14:textId="77777777" w:rsidR="009C3B4B" w:rsidRPr="0057250F" w:rsidRDefault="009C3B4B" w:rsidP="000D51B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71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17FE19" w14:textId="66B492FD" w:rsidR="009C3B4B" w:rsidRPr="0057250F" w:rsidRDefault="003D39F0" w:rsidP="000D51B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20A2AE9">
              <w:rPr>
                <w:rFonts w:ascii="Arial" w:hAnsi="Arial" w:cs="Arial"/>
                <w:sz w:val="16"/>
                <w:szCs w:val="16"/>
                <w:lang w:val="es-ES"/>
              </w:rPr>
              <w:t>28787</w:t>
            </w:r>
          </w:p>
        </w:tc>
      </w:tr>
      <w:tr w:rsidR="009C3B4B" w:rsidRPr="0057250F" w14:paraId="2517FE20" w14:textId="77777777" w:rsidTr="02CCF390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E1B" w14:textId="13C588FC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17FE1C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517FE1D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6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517FE1E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517FE1F" w14:textId="77777777" w:rsidR="009C3B4B" w:rsidRPr="0057250F" w:rsidRDefault="009C3B4B" w:rsidP="00AB7E2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9C3B4B" w:rsidRPr="0057250F" w14:paraId="2517FE26" w14:textId="77777777" w:rsidTr="003D39F0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517FE21" w14:textId="77777777" w:rsidR="009C3B4B" w:rsidRPr="0057250F" w:rsidRDefault="009C3B4B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FE22" w14:textId="0E78B868" w:rsidR="009C3B4B" w:rsidRPr="0057250F" w:rsidRDefault="005B37BE" w:rsidP="003D39F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B37BE">
              <w:rPr>
                <w:rFonts w:ascii="Arial" w:hAnsi="Arial" w:cs="Arial"/>
                <w:sz w:val="16"/>
                <w:szCs w:val="16"/>
              </w:rPr>
              <w:t>3,202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8E7B9C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%)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517FE23" w14:textId="1C9256C4" w:rsidR="009C3B4B" w:rsidRPr="0057250F" w:rsidRDefault="009C3B4B" w:rsidP="003D39F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517FE24" w14:textId="35176091" w:rsidR="009C3B4B" w:rsidRPr="0057250F" w:rsidRDefault="009C3B4B" w:rsidP="003D39F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2517FE25" w14:textId="5CE05977" w:rsidR="009C3B4B" w:rsidRPr="0057250F" w:rsidRDefault="009C3B4B" w:rsidP="003D39F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B4B" w:rsidRPr="0057250F" w14:paraId="2517FE2C" w14:textId="77777777" w:rsidTr="02CCF390">
        <w:trPr>
          <w:gridAfter w:val="1"/>
          <w:wAfter w:w="5512" w:type="dxa"/>
          <w:trHeight w:val="315"/>
        </w:trPr>
        <w:tc>
          <w:tcPr>
            <w:tcW w:w="1840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14:paraId="2517FE27" w14:textId="4BC3250A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  <w:hideMark/>
          </w:tcPr>
          <w:p w14:paraId="2517FE28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hideMark/>
          </w:tcPr>
          <w:p w14:paraId="2517FE29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</w:tcBorders>
            <w:hideMark/>
          </w:tcPr>
          <w:p w14:paraId="2517FE2A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hideMark/>
          </w:tcPr>
          <w:p w14:paraId="2517FE2B" w14:textId="77777777" w:rsidR="009C3B4B" w:rsidRPr="0057250F" w:rsidRDefault="009C3B4B" w:rsidP="00AB7E2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C3B4B" w:rsidRPr="0057250F" w14:paraId="2517FE2E" w14:textId="77777777" w:rsidTr="02CCF390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517FE2D" w14:textId="77777777" w:rsidR="009C3B4B" w:rsidRPr="0057250F" w:rsidRDefault="009C3B4B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57250F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9C3B4B" w:rsidRPr="0057250F" w14:paraId="2517FE30" w14:textId="77777777" w:rsidTr="02CCF390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517FE2F" w14:textId="4957E301" w:rsidR="009C3B4B" w:rsidRPr="0057250F" w:rsidRDefault="4B780CCA" w:rsidP="4B780CC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Captura oportuna en SICAM</w:t>
            </w:r>
          </w:p>
        </w:tc>
      </w:tr>
      <w:tr w:rsidR="009C3B4B" w:rsidRPr="0057250F" w14:paraId="2517FE32" w14:textId="77777777" w:rsidTr="02CCF390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517FE31" w14:textId="3BFD773F" w:rsidR="009C3B4B" w:rsidRPr="0057250F" w:rsidRDefault="4B780CCA" w:rsidP="4B780CC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B) Visitas de asesoría a unidades de salud</w:t>
            </w:r>
          </w:p>
        </w:tc>
      </w:tr>
      <w:tr w:rsidR="009C3B4B" w:rsidRPr="0057250F" w14:paraId="2517FE34" w14:textId="77777777" w:rsidTr="02CCF390">
        <w:trPr>
          <w:gridAfter w:val="1"/>
          <w:wAfter w:w="5512" w:type="dxa"/>
          <w:trHeight w:val="315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517FE33" w14:textId="220CD3B6" w:rsidR="009C3B4B" w:rsidRPr="0057250F" w:rsidRDefault="4B780CCA" w:rsidP="4B780CC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Interpretación oportuna</w:t>
            </w:r>
          </w:p>
        </w:tc>
      </w:tr>
      <w:tr w:rsidR="009C3B4B" w:rsidRPr="0057250F" w14:paraId="2517FE36" w14:textId="77777777" w:rsidTr="02CCF390">
        <w:trPr>
          <w:gridAfter w:val="1"/>
          <w:wAfter w:w="5512" w:type="dxa"/>
          <w:trHeight w:val="414"/>
        </w:trPr>
        <w:tc>
          <w:tcPr>
            <w:tcW w:w="896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517FE35" w14:textId="14ECD005" w:rsidR="009C3B4B" w:rsidRPr="0057250F" w:rsidRDefault="4B780CCA" w:rsidP="4B780CC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B780CC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</w:t>
            </w:r>
            <w:r w:rsidRPr="002D288B">
              <w:rPr>
                <w:rFonts w:ascii="Arial" w:hAnsi="Arial" w:cs="Arial"/>
                <w:sz w:val="16"/>
                <w:szCs w:val="16"/>
                <w:lang w:val="es-ES"/>
              </w:rPr>
              <w:t>Las mujeres se realizan los papanicolaous una vez que inician su vida sexual activa lo cual al llegar a los 25 años ya no cuenta como 1ra vez.</w:t>
            </w:r>
          </w:p>
        </w:tc>
      </w:tr>
    </w:tbl>
    <w:p w14:paraId="2517FE37" w14:textId="67600D61" w:rsidR="009C3B4B" w:rsidRPr="0057250F" w:rsidRDefault="009C3B4B" w:rsidP="009C3B4B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14:paraId="2517FE39" w14:textId="288091A4" w:rsidR="009C3B4B" w:rsidRPr="0057250F" w:rsidRDefault="009C3B4B" w:rsidP="0081202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2CCF390">
        <w:rPr>
          <w:rFonts w:ascii="Arial" w:hAnsi="Arial" w:cs="Arial"/>
          <w:b/>
          <w:bCs/>
          <w:sz w:val="16"/>
          <w:szCs w:val="16"/>
          <w:lang w:val="es-ES"/>
        </w:rPr>
        <w:t>ELABORÓ</w:t>
      </w:r>
    </w:p>
    <w:p w14:paraId="6B88A76C" w14:textId="2F00860A" w:rsidR="02CCF390" w:rsidRDefault="02CCF390" w:rsidP="02CCF390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984E63B" w14:textId="17CAA1E3" w:rsidR="02CCF390" w:rsidRDefault="02CCF390" w:rsidP="02CCF390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375090BC" w14:textId="45EAE3F6" w:rsidR="02CCF390" w:rsidRDefault="02CCF390" w:rsidP="02CCF390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2517FE3A" w14:textId="0E3109BC" w:rsidR="009C3B4B" w:rsidRPr="00BA49EE" w:rsidRDefault="00BA49EE" w:rsidP="009C3B4B">
      <w:pPr>
        <w:jc w:val="center"/>
        <w:rPr>
          <w:rFonts w:ascii="Arial" w:hAnsi="Arial" w:cs="Arial"/>
          <w:b/>
          <w:color w:val="000000" w:themeColor="text1"/>
          <w:sz w:val="16"/>
          <w:szCs w:val="16"/>
          <w:lang w:val="es-ES"/>
        </w:rPr>
      </w:pPr>
      <w:r w:rsidRPr="00BA49EE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z w:val="16"/>
          <w:szCs w:val="16"/>
        </w:rPr>
        <w:t>DR</w:t>
      </w:r>
      <w:r w:rsidRPr="00BA49E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.</w:t>
      </w:r>
      <w:r w:rsidRPr="00BA49EE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Pr="00BA49EE">
        <w:rPr>
          <w:rStyle w:val="nfasis"/>
          <w:rFonts w:ascii="Arial" w:hAnsi="Arial" w:cs="Arial"/>
          <w:b/>
          <w:bCs/>
          <w:i w:val="0"/>
          <w:iCs w:val="0"/>
          <w:color w:val="000000" w:themeColor="text1"/>
          <w:sz w:val="16"/>
          <w:szCs w:val="16"/>
        </w:rPr>
        <w:t>JOSE ANGEL ESPINOSA</w:t>
      </w:r>
      <w:r w:rsidRPr="00BA49EE">
        <w:rPr>
          <w:rStyle w:val="apple-converted-space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 </w:t>
      </w:r>
      <w:r w:rsidRPr="00BA49EE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/>
        </w:rPr>
        <w:t>GALLARDO</w:t>
      </w:r>
    </w:p>
    <w:p w14:paraId="2517FE3D" w14:textId="127D1DA5" w:rsidR="00C77B1F" w:rsidRPr="0057250F" w:rsidRDefault="009C3B4B" w:rsidP="008E5970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7250F">
        <w:rPr>
          <w:rFonts w:ascii="Arial" w:hAnsi="Arial" w:cs="Arial"/>
          <w:b/>
          <w:sz w:val="16"/>
          <w:szCs w:val="16"/>
          <w:lang w:val="es-ES"/>
        </w:rPr>
        <w:t>COORDINADOR ESTATAL DE CANCER DE LA MUJER</w:t>
      </w:r>
    </w:p>
    <w:sectPr w:rsidR="00C77B1F" w:rsidRPr="0057250F" w:rsidSect="00B92D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1EDA" w14:textId="77777777" w:rsidR="00D2271F" w:rsidRDefault="00D2271F" w:rsidP="009C3B4B">
      <w:r>
        <w:separator/>
      </w:r>
    </w:p>
  </w:endnote>
  <w:endnote w:type="continuationSeparator" w:id="0">
    <w:p w14:paraId="28362A04" w14:textId="77777777" w:rsidR="00D2271F" w:rsidRDefault="00D2271F" w:rsidP="009C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B882" w14:textId="77777777" w:rsidR="00D2271F" w:rsidRDefault="00D2271F" w:rsidP="009C3B4B">
      <w:r>
        <w:separator/>
      </w:r>
    </w:p>
  </w:footnote>
  <w:footnote w:type="continuationSeparator" w:id="0">
    <w:p w14:paraId="3D101336" w14:textId="77777777" w:rsidR="00D2271F" w:rsidRDefault="00D2271F" w:rsidP="009C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FE42" w14:textId="77777777" w:rsidR="009C3B4B" w:rsidRDefault="009C3B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7FE43" wp14:editId="2517FE44">
          <wp:simplePos x="0" y="0"/>
          <wp:positionH relativeFrom="column">
            <wp:posOffset>-690734</wp:posOffset>
          </wp:positionH>
          <wp:positionV relativeFrom="paragraph">
            <wp:posOffset>-316216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4B"/>
    <w:rsid w:val="00055C58"/>
    <w:rsid w:val="00065E5A"/>
    <w:rsid w:val="000B36F5"/>
    <w:rsid w:val="000B4ED6"/>
    <w:rsid w:val="000D51B7"/>
    <w:rsid w:val="001022BB"/>
    <w:rsid w:val="00125497"/>
    <w:rsid w:val="00126654"/>
    <w:rsid w:val="00241471"/>
    <w:rsid w:val="002913DE"/>
    <w:rsid w:val="002C0FB2"/>
    <w:rsid w:val="002C3B56"/>
    <w:rsid w:val="002C6238"/>
    <w:rsid w:val="002D288B"/>
    <w:rsid w:val="003441BC"/>
    <w:rsid w:val="003D39F0"/>
    <w:rsid w:val="0046297F"/>
    <w:rsid w:val="00475B10"/>
    <w:rsid w:val="00493419"/>
    <w:rsid w:val="00500A5B"/>
    <w:rsid w:val="0057250F"/>
    <w:rsid w:val="0058563F"/>
    <w:rsid w:val="005950AA"/>
    <w:rsid w:val="005B37BE"/>
    <w:rsid w:val="005E5BB4"/>
    <w:rsid w:val="006021E8"/>
    <w:rsid w:val="006061B9"/>
    <w:rsid w:val="00624300"/>
    <w:rsid w:val="006733CF"/>
    <w:rsid w:val="00697BC6"/>
    <w:rsid w:val="00723FBA"/>
    <w:rsid w:val="0074156A"/>
    <w:rsid w:val="007A5855"/>
    <w:rsid w:val="007F51C3"/>
    <w:rsid w:val="00812027"/>
    <w:rsid w:val="00863069"/>
    <w:rsid w:val="00880B09"/>
    <w:rsid w:val="008E5970"/>
    <w:rsid w:val="008E7B9C"/>
    <w:rsid w:val="009C3B4B"/>
    <w:rsid w:val="009D2498"/>
    <w:rsid w:val="009E4CCF"/>
    <w:rsid w:val="009F079A"/>
    <w:rsid w:val="00A435D6"/>
    <w:rsid w:val="00A7250E"/>
    <w:rsid w:val="00A961F9"/>
    <w:rsid w:val="00AC0ECB"/>
    <w:rsid w:val="00B01ACB"/>
    <w:rsid w:val="00B141E1"/>
    <w:rsid w:val="00B83A28"/>
    <w:rsid w:val="00B92D1F"/>
    <w:rsid w:val="00BA49EE"/>
    <w:rsid w:val="00BD0AC4"/>
    <w:rsid w:val="00BF09E2"/>
    <w:rsid w:val="00C250C4"/>
    <w:rsid w:val="00C72352"/>
    <w:rsid w:val="00C77B1F"/>
    <w:rsid w:val="00CE2A68"/>
    <w:rsid w:val="00CF321E"/>
    <w:rsid w:val="00D12CAA"/>
    <w:rsid w:val="00D14B81"/>
    <w:rsid w:val="00D16013"/>
    <w:rsid w:val="00D2271F"/>
    <w:rsid w:val="00D47096"/>
    <w:rsid w:val="00E2638C"/>
    <w:rsid w:val="00EA4CE4"/>
    <w:rsid w:val="00ED7EC5"/>
    <w:rsid w:val="00EF02AF"/>
    <w:rsid w:val="00F034F3"/>
    <w:rsid w:val="00F23B7F"/>
    <w:rsid w:val="00F73402"/>
    <w:rsid w:val="00F9666C"/>
    <w:rsid w:val="00FE4AAD"/>
    <w:rsid w:val="02CCF390"/>
    <w:rsid w:val="057834C8"/>
    <w:rsid w:val="081FE18F"/>
    <w:rsid w:val="092672E4"/>
    <w:rsid w:val="1524F82A"/>
    <w:rsid w:val="18A92D6F"/>
    <w:rsid w:val="197A2C8F"/>
    <w:rsid w:val="1BC632EB"/>
    <w:rsid w:val="2CE0AE39"/>
    <w:rsid w:val="320A2AE9"/>
    <w:rsid w:val="49BC1E1B"/>
    <w:rsid w:val="4B780CCA"/>
    <w:rsid w:val="63F22156"/>
    <w:rsid w:val="74E5E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DCF"/>
  <w15:chartTrackingRefBased/>
  <w15:docId w15:val="{8F51933A-510B-0344-BDC3-4E1EBF62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4B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3B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C3B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3B4B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3B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B4B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8563F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E2638C"/>
  </w:style>
  <w:style w:type="character" w:customStyle="1" w:styleId="eop">
    <w:name w:val="eop"/>
    <w:basedOn w:val="Fuentedeprrafopredeter"/>
    <w:rsid w:val="00E2638C"/>
  </w:style>
  <w:style w:type="character" w:styleId="nfasis">
    <w:name w:val="Emphasis"/>
    <w:basedOn w:val="Fuentedeprrafopredeter"/>
    <w:uiPriority w:val="20"/>
    <w:qFormat/>
    <w:rsid w:val="00BA49EE"/>
    <w:rPr>
      <w:i/>
      <w:iCs/>
    </w:rPr>
  </w:style>
  <w:style w:type="character" w:customStyle="1" w:styleId="apple-converted-space">
    <w:name w:val="apple-converted-space"/>
    <w:basedOn w:val="Fuentedeprrafopredeter"/>
    <w:rsid w:val="00BA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Alba sanchez</cp:lastModifiedBy>
  <cp:revision>56</cp:revision>
  <dcterms:created xsi:type="dcterms:W3CDTF">2023-10-17T16:11:00Z</dcterms:created>
  <dcterms:modified xsi:type="dcterms:W3CDTF">2026-04-15T16:29:00Z</dcterms:modified>
</cp:coreProperties>
</file>