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0F24" w:rsidR="00452BC4" w:rsidP="7995E2BD" w:rsidRDefault="66A75264" w14:paraId="1AB5A1AF" w14:textId="27F4266A">
      <w:pPr>
        <w:spacing w:before="0" w:beforeAutospacing="off" w:after="0" w:afterAutospacing="off"/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7995E2BD" w:rsidR="7995E2BD">
        <w:rPr>
          <w:rFonts w:ascii="Arial" w:hAnsi="Arial" w:cs="Arial"/>
          <w:b w:val="1"/>
          <w:bCs w:val="1"/>
          <w:sz w:val="18"/>
          <w:szCs w:val="18"/>
        </w:rPr>
        <w:t xml:space="preserve">          </w:t>
      </w:r>
      <w:r w:rsidRPr="7995E2BD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7995E2BD" w:rsidR="7995E2B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0A0F24" w:rsidR="00452BC4" w:rsidP="7995E2BD" w:rsidRDefault="66A75264" w14:paraId="541F7BF7" w14:textId="6BAC250E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2ADCED35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2ADCED35" w:rsidR="554E2F0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0</w:t>
      </w:r>
      <w:r w:rsidRPr="2ADCED35" w:rsidR="2DE8368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6</w:t>
      </w:r>
      <w:r w:rsidRPr="2ADCED35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</w:t>
      </w:r>
      <w:r w:rsidRPr="2ADCED35" w:rsidR="7107655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10</w:t>
      </w:r>
      <w:r w:rsidRPr="2ADCED35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/2025</w:t>
      </w:r>
    </w:p>
    <w:tbl>
      <w:tblPr>
        <w:tblW w:w="14479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816"/>
        <w:gridCol w:w="153"/>
        <w:gridCol w:w="714"/>
        <w:gridCol w:w="475"/>
        <w:gridCol w:w="1433"/>
        <w:gridCol w:w="128"/>
        <w:gridCol w:w="1406"/>
        <w:gridCol w:w="128"/>
        <w:gridCol w:w="1502"/>
        <w:gridCol w:w="5540"/>
      </w:tblGrid>
      <w:tr w:rsidRPr="007503FB" w:rsidR="00403BEF" w:rsidTr="2ADCED35" w14:paraId="42B9B533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7503FB" w:rsidR="00403BEF" w:rsidP="00CA7BA3" w:rsidRDefault="00403BEF" w14:paraId="672A6659" w14:textId="7777777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Pr="007503FB" w:rsidR="00403BEF" w:rsidP="00CA7BA3" w:rsidRDefault="66A75264" w14:paraId="27E66B24" w14:textId="5DC7031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ADCED35" w:rsidR="53C24D08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FICHA DE REPORTE DE INDICADORES PED 2022 –2027- </w:t>
            </w:r>
            <w:r w:rsidRPr="2ADCED35" w:rsidR="0A37AB7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TERCER</w:t>
            </w:r>
            <w:r w:rsidRPr="2ADCED35" w:rsidR="53C24D08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TRIMESTRE 2025</w:t>
            </w:r>
          </w:p>
        </w:tc>
      </w:tr>
      <w:tr w:rsidRPr="007503FB" w:rsidR="00403BEF" w:rsidTr="2ADCED35" w14:paraId="474CB100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403BEF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7503FB" w:rsidR="00403BEF" w:rsidTr="2ADCED35" w14:paraId="0F68D40A" w14:textId="77777777">
        <w:trPr>
          <w:gridAfter w:val="1"/>
          <w:wAfter w:w="5540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403BEF" w:rsidP="00CA7BA3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7503FB" w:rsidR="00403BEF" w:rsidTr="2ADCED35" w14:paraId="1A16BFCA" w14:textId="77777777">
        <w:trPr>
          <w:gridAfter w:val="1"/>
          <w:wAfter w:w="5540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403BEF" w:rsidP="00CA7BA3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r w:rsidRPr="007503FB" w:rsidR="00740C54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</w:t>
            </w: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7503FB" w:rsidR="00403BEF" w:rsidP="00CA7BA3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7503FB" w:rsidR="00403BEF" w:rsidTr="2ADCED35" w14:paraId="33665159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403BEF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7503FB" w:rsidR="00403BEF" w:rsidTr="2ADCED35" w14:paraId="24A3EF8E" w14:textId="77777777">
        <w:trPr>
          <w:trHeight w:val="217"/>
        </w:trPr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BA14466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20"/>
                <w:lang w:val="es-ES"/>
              </w:rPr>
              <w:t>I.</w:t>
            </w:r>
            <w:r w:rsidRPr="007503FB">
              <w:rPr>
                <w:rFonts w:ascii="Arial" w:hAnsi="Arial" w:cs="Arial"/>
                <w:sz w:val="15"/>
                <w:szCs w:val="20"/>
                <w:lang w:val="es-ES"/>
              </w:rPr>
              <w:t xml:space="preserve"> Bienestar Social Sostenible</w:t>
            </w:r>
          </w:p>
        </w:tc>
        <w:tc>
          <w:tcPr>
            <w:tcW w:w="5540" w:type="dxa"/>
            <w:vMerge w:val="restart"/>
            <w:tcMar/>
            <w:vAlign w:val="center"/>
          </w:tcPr>
          <w:p w:rsidRPr="007503FB" w:rsidR="00403BEF" w:rsidP="00CA7BA3" w:rsidRDefault="00403BEF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2ADCED35" w14:paraId="12C4D419" w14:textId="77777777">
        <w:trPr>
          <w:trHeight w:val="217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62EBA07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Objetivo Prioritario 3.1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0" w:type="dxa"/>
            <w:vMerge/>
            <w:tcMar/>
            <w:vAlign w:val="center"/>
          </w:tcPr>
          <w:p w:rsidRPr="007503FB" w:rsidR="00403BEF" w:rsidP="00CA7BA3" w:rsidRDefault="00403BE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2ADCED35" w14:paraId="52EF68DF" w14:textId="77777777">
        <w:trPr>
          <w:trHeight w:val="217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0B99C046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Estrategia 3.1.1         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0" w:type="dxa"/>
            <w:vMerge/>
            <w:tcMar/>
            <w:vAlign w:val="center"/>
          </w:tcPr>
          <w:p w:rsidRPr="007503FB" w:rsidR="00403BEF" w:rsidP="00CA7BA3" w:rsidRDefault="00403BE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2ADCED35" w14:paraId="490EED2F" w14:textId="77777777">
        <w:trPr>
          <w:gridAfter w:val="1"/>
          <w:wAfter w:w="5540" w:type="dxa"/>
          <w:trHeight w:val="217"/>
        </w:trPr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2DB7DEA1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Objetivo Prioritario 3.1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7503FB" w:rsidR="00403BEF" w:rsidTr="2ADCED35" w14:paraId="64673C54" w14:textId="77777777">
        <w:trPr>
          <w:gridAfter w:val="1"/>
          <w:wAfter w:w="5540" w:type="dxa"/>
          <w:trHeight w:val="325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6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55238AA7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Estrategia 3.1.1         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7503FB" w:rsidR="00403BEF" w:rsidTr="2ADCED35" w14:paraId="72E3BD94" w14:textId="77777777">
        <w:trPr>
          <w:gridAfter w:val="1"/>
          <w:wAfter w:w="5540" w:type="dxa"/>
          <w:trHeight w:val="307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7503FB" w:rsidR="00403BEF" w:rsidP="00CA7BA3" w:rsidRDefault="00403BEF" w14:paraId="1EE5B4F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</w:rPr>
              <w:t>7.</w:t>
            </w:r>
            <w:r w:rsidRPr="007503FB">
              <w:rPr>
                <w:rFonts w:ascii="Arial" w:hAnsi="Arial" w:cs="Arial"/>
                <w:sz w:val="15"/>
                <w:szCs w:val="15"/>
              </w:rPr>
              <w:t xml:space="preserve"> Tasa de mortalidad por diabetes (por 100 000 habitantes)</w:t>
            </w:r>
          </w:p>
        </w:tc>
      </w:tr>
      <w:tr w:rsidRPr="007503FB" w:rsidR="00403BEF" w:rsidTr="2ADCED35" w14:paraId="7BFC0FA9" w14:textId="77777777">
        <w:trPr>
          <w:gridAfter w:val="1"/>
          <w:wAfter w:w="5540" w:type="dxa"/>
          <w:trHeight w:val="525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503FB" w:rsidR="00403BEF" w:rsidP="00CA7BA3" w:rsidRDefault="66A75264" w14:paraId="7AB88A86" w14:textId="43471B0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66A75264">
              <w:rPr>
                <w:rFonts w:ascii="Arial" w:hAnsi="Arial" w:eastAsia="Arial" w:cs="Arial"/>
                <w:sz w:val="15"/>
                <w:szCs w:val="15"/>
              </w:rPr>
              <w:t>Mide la tasa de mortalidad por diabetes mellitus en la población de 20 años y más en un periodo determinado en relación con la línea basal 2021.</w:t>
            </w:r>
          </w:p>
        </w:tc>
      </w:tr>
      <w:tr w:rsidRPr="007503FB" w:rsidR="00403BEF" w:rsidTr="2ADCED35" w14:paraId="05F34A9E" w14:textId="77777777">
        <w:trPr>
          <w:gridAfter w:val="1"/>
          <w:wAfter w:w="5540" w:type="dxa"/>
          <w:trHeight w:val="480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7503FB" w:rsidR="00403BEF" w:rsidTr="2ADCED35" w14:paraId="39FAB1F4" w14:textId="77777777">
        <w:trPr>
          <w:gridAfter w:val="1"/>
          <w:wAfter w:w="5540" w:type="dxa"/>
          <w:trHeight w:val="240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503FB" w:rsidR="00403BEF" w:rsidP="00CA7BA3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eastAsia="Arial" w:cs="Arial"/>
                <w:sz w:val="15"/>
                <w:szCs w:val="15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740C54" w:rsidRDefault="00403BEF" w14:paraId="302DC975" w14:textId="777777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sz w:val="15"/>
                <w:szCs w:val="15"/>
              </w:rPr>
              <w:t>59.5</w:t>
            </w:r>
          </w:p>
          <w:p w:rsidRPr="007503FB" w:rsidR="00403BEF" w:rsidP="00740C54" w:rsidRDefault="00403BEF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>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Tasa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Acumulado</w:t>
            </w:r>
          </w:p>
        </w:tc>
      </w:tr>
      <w:tr w:rsidRPr="007503FB" w:rsidR="00403BEF" w:rsidTr="2ADCED35" w14:paraId="7C7077C8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7503FB" w:rsidR="00403BEF" w:rsidP="00CA7BA3" w:rsidRDefault="00403BEF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7503FB" w:rsidR="00403BEF" w:rsidTr="2ADCED35" w14:paraId="55FC2642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FD47CD" w:rsidRDefault="00403BEF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593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FD47CD" w:rsidRDefault="00403BEF" w14:paraId="5B57C368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eastAsia="Times New Roman" w:cs="Arial"/>
                <w:sz w:val="15"/>
                <w:szCs w:val="16"/>
              </w:rPr>
              <w:t xml:space="preserve">Mínima: </w:t>
            </w:r>
            <w:r w:rsidRPr="007503FB">
              <w:rPr>
                <w:rFonts w:ascii="Arial" w:hAnsi="Arial" w:cs="Arial"/>
                <w:sz w:val="14"/>
                <w:szCs w:val="16"/>
              </w:rPr>
              <w:t>59.5*</w:t>
            </w:r>
            <w:r w:rsidRPr="007503FB">
              <w:rPr>
                <w:rFonts w:ascii="Arial" w:hAnsi="Arial" w:eastAsia="Times New Roman" w:cs="Arial"/>
                <w:sz w:val="15"/>
                <w:szCs w:val="16"/>
              </w:rPr>
              <w:t xml:space="preserve">    Optima: </w:t>
            </w:r>
            <w:r w:rsidRPr="007503FB">
              <w:rPr>
                <w:rFonts w:ascii="Arial" w:hAnsi="Arial" w:cs="Arial"/>
                <w:sz w:val="14"/>
                <w:szCs w:val="16"/>
              </w:rPr>
              <w:t>55.0</w:t>
            </w:r>
          </w:p>
        </w:tc>
      </w:tr>
      <w:tr w:rsidRPr="007503FB" w:rsidR="00403BEF" w:rsidTr="2ADCED35" w14:paraId="02B73F92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1438E85D" w14:textId="77777777">
            <w:pPr>
              <w:rPr>
                <w:rFonts w:ascii="Arial" w:hAnsi="Arial" w:eastAsia="Tahoma" w:cs="Arial"/>
                <w:sz w:val="15"/>
                <w:szCs w:val="16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7503FB">
              <w:rPr>
                <w:rFonts w:ascii="Arial" w:hAnsi="Arial" w:eastAsia="Tahoma" w:cs="Arial"/>
                <w:sz w:val="15"/>
                <w:szCs w:val="16"/>
              </w:rPr>
              <w:t xml:space="preserve"> </w:t>
            </w:r>
          </w:p>
          <w:p w:rsidRPr="007503FB" w:rsidR="00403BEF" w:rsidP="00CA7BA3" w:rsidRDefault="00FD47CD" w14:paraId="45B49E13" w14:textId="0CC1AA2E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Mínima (2025): &lt;</w:t>
            </w:r>
            <w:r w:rsidRPr="480DA263" w:rsidR="480DA263">
              <w:rPr>
                <w:rFonts w:ascii="Arial" w:hAnsi="Arial" w:cs="Arial"/>
                <w:sz w:val="16"/>
                <w:szCs w:val="16"/>
              </w:rPr>
              <w:t>59.5</w:t>
            </w: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%</w:t>
            </w:r>
            <w:r>
              <w:br/>
            </w: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Óptima (2025): &lt;57.2%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4EE06B1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7503FB" w:rsidR="00403BEF" w:rsidTr="2ADCED35" w14:paraId="48E01013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36E3C05D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D590E" w:rsidR="00403BEF" w:rsidP="7841C41E" w:rsidRDefault="327F1036" w14:paraId="44EAFD9C" w14:textId="1F97710F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 w:themeTint="FF" w:themeShade="FF"/>
                <w:sz w:val="16"/>
                <w:szCs w:val="16"/>
                <w:lang w:val="es"/>
              </w:rPr>
            </w:pPr>
            <w:r w:rsidRPr="2ADCED35" w:rsidR="7A1BFC0F"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  <w:lang w:val="es"/>
              </w:rPr>
              <w:t>2</w:t>
            </w:r>
            <w:r w:rsidRPr="2ADCED35" w:rsidR="6FBD4D9B"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  <w:lang w:val="es"/>
              </w:rPr>
              <w:t>4.67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0C8934D7" w:rsidRDefault="327F1036" w14:paraId="4B94D5A5" w14:textId="2E2BDAC5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/>
                <w:sz w:val="16"/>
                <w:szCs w:val="16"/>
                <w:lang w:val="es"/>
              </w:rPr>
            </w:pPr>
            <w:r w:rsidRPr="2ADCED35" w:rsidR="62E67547"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  <w:lang w:val="es"/>
              </w:rPr>
              <w:t>20.37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3C92491" w:rsidRDefault="6B66A5C5" w14:paraId="3DEEC669" w14:textId="1BA862EE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  <w:r w:rsidRPr="2ADCED35" w:rsidR="1895942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-ES"/>
              </w:rPr>
              <w:t>15.15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6A75264" w:rsidRDefault="66A75264" w14:paraId="3656B9AB" w14:textId="1AF5979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5"/>
                <w:szCs w:val="15"/>
                <w:lang w:val="es-ES"/>
              </w:rPr>
            </w:pPr>
          </w:p>
        </w:tc>
      </w:tr>
      <w:tr w:rsidRPr="007503FB" w:rsidR="00403BEF" w:rsidTr="2ADCED35" w14:paraId="12ABD444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740C54" w14:paraId="60FD6C84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4</w:t>
            </w:r>
            <w:r w:rsidRPr="007503FB" w:rsidR="00403BEF">
              <w:rPr>
                <w:rFonts w:ascii="Arial" w:hAnsi="Arial" w:cs="Arial"/>
                <w:b/>
                <w:sz w:val="18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7503FB" w:rsidR="00740C54" w:rsidTr="2ADCED35" w14:paraId="185C6C9C" w14:textId="77777777">
        <w:trPr>
          <w:gridAfter w:val="1"/>
          <w:wAfter w:w="5540" w:type="dxa"/>
          <w:trHeight w:val="302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45DE1544" w14:textId="6571605A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</w:rPr>
            </w:pPr>
            <w:r w:rsidRPr="2ADCED35" w:rsidR="00740C54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A)</w:t>
            </w:r>
            <w:r w:rsidRPr="2ADCED35" w:rsidR="00740C5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2ADCED35" w:rsidR="254D4B15">
              <w:rPr>
                <w:rFonts w:ascii="Arial" w:hAnsi="Arial" w:cs="Arial"/>
                <w:sz w:val="15"/>
                <w:szCs w:val="15"/>
              </w:rPr>
              <w:t xml:space="preserve">DATOS PRELIMINARES POR REPORTE EN DGIS. Cubo Dinámico DEFUNCIONES (SEED) SS 2025 08/10/25 </w:t>
            </w:r>
          </w:p>
        </w:tc>
      </w:tr>
      <w:tr w:rsidRPr="007503FB" w:rsidR="00740C54" w:rsidTr="2ADCED35" w14:paraId="0A6FBDF2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57E69372" w14:textId="77777777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  <w:lang w:val="es-ES"/>
              </w:rPr>
              <w:t>B)</w:t>
            </w:r>
            <w:r w:rsidRPr="007503F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7503FB" w:rsidR="00740C54" w:rsidTr="2ADCED35" w14:paraId="4B89DA9B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1463E15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  <w:lang w:val="es-ES"/>
              </w:rPr>
              <w:t>C)</w:t>
            </w:r>
            <w:r w:rsidRPr="007503F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7503FB" w:rsidR="00740C54" w:rsidTr="2ADCED35" w14:paraId="00D09A9C" w14:textId="77777777">
        <w:trPr>
          <w:gridAfter w:val="1"/>
          <w:wAfter w:w="5540" w:type="dxa"/>
          <w:trHeight w:val="540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503FB" w:rsidR="00740C54" w:rsidP="00FD47CD" w:rsidRDefault="00740C54" w14:paraId="67A439D4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007503FB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Observaciones:</w:t>
            </w: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</w:t>
            </w:r>
            <w:r w:rsidRPr="007503FB" w:rsidR="00FD47CD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*</w:t>
            </w:r>
            <w:r w:rsidRPr="007503FB" w:rsidR="00FD47CD">
              <w:rPr>
                <w:rFonts w:ascii="Arial" w:hAnsi="Arial" w:eastAsia="Times New Roman" w:cs="Arial"/>
                <w:sz w:val="16"/>
                <w:szCs w:val="16"/>
              </w:rPr>
              <w:t xml:space="preserve"> Detener los casos o mantenerlos en la posición de la Línea base.</w:t>
            </w:r>
          </w:p>
          <w:p w:rsidRPr="007503FB" w:rsidR="00740C54" w:rsidP="66A75264" w:rsidRDefault="66A75264" w14:paraId="61CA0F21" w14:textId="666E6312">
            <w:pPr>
              <w:rPr>
                <w:rFonts w:ascii="Calibri" w:hAnsi="Calibri" w:cs="Calibri"/>
                <w:b w:val="1"/>
                <w:bCs w:val="1"/>
                <w:color w:val="FF0000"/>
                <w:sz w:val="18"/>
                <w:szCs w:val="18"/>
                <w:lang w:val="es-ES"/>
              </w:rPr>
            </w:pPr>
            <w:r w:rsidRPr="2ADCED35" w:rsidR="53C24D08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*Datos preliminares. (0</w:t>
            </w:r>
            <w:r w:rsidRPr="2ADCED35" w:rsidR="1D6A8FA2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6/10</w:t>
            </w:r>
            <w:r w:rsidRPr="2ADCED35" w:rsidR="53C24D08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 xml:space="preserve">/2025)  </w:t>
            </w:r>
          </w:p>
          <w:p w:rsidRPr="007503FB" w:rsidR="00740C54" w:rsidP="006AF6A0" w:rsidRDefault="00740C54" w14:paraId="1299C43A" w14:textId="75DDE811">
            <w:pPr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="7841C41E" w:rsidP="7841C41E" w:rsidRDefault="7841C41E" w14:paraId="5DE195F8" w14:textId="3D374D11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="7841C41E" w:rsidP="7841C41E" w:rsidRDefault="7841C41E" w14:paraId="31CE0F22" w14:textId="5E0EB7FF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="7841C41E" w:rsidP="7841C41E" w:rsidRDefault="7841C41E" w14:paraId="5CDE7D0C" w14:textId="1E7C4FF7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="7841C41E" w:rsidP="7841C41E" w:rsidRDefault="7841C41E" w14:paraId="3C1FDF9D" w14:textId="167E2C16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Pr="00B77662" w:rsidR="00740C54" w:rsidP="00740C54" w:rsidRDefault="00740C54" w14:paraId="172FE3DC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B77662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740C54" w:rsidP="00740C54" w:rsidRDefault="00740C54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="1C013F4A" w:rsidP="2ADCED35" w:rsidRDefault="1C013F4A" w14:paraId="70F63001" w14:textId="54B8A87E">
      <w:pPr>
        <w:spacing w:before="0" w:beforeAutospacing="off" w:after="0" w:afterAutospacing="off" w:line="259" w:lineRule="auto"/>
        <w:ind w:left="0" w:right="0"/>
        <w:jc w:val="center"/>
        <w:rPr>
          <w:rFonts w:ascii="Tahoma" w:hAnsi="Tahoma" w:eastAsia="Tahoma" w:cs="Tahoma"/>
          <w:noProof w:val="0"/>
          <w:sz w:val="20"/>
          <w:szCs w:val="20"/>
          <w:lang w:val="es-ES"/>
        </w:rPr>
      </w:pPr>
      <w:r w:rsidRPr="2ADCED35" w:rsidR="1C013F4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THANYA ALEXANDRA GONZALEZ RENTERÍA</w:t>
      </w:r>
    </w:p>
    <w:p w:rsidR="2ADCED35" w:rsidP="2ADCED35" w:rsidRDefault="2ADCED35" w14:paraId="4CD47CF7" w14:textId="25DC4D68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p w:rsidRPr="00B77662" w:rsidR="00740C54" w:rsidP="7841C41E" w:rsidRDefault="00A31E5E" w14:paraId="72F7AF8A" w14:textId="4694AB69">
      <w:pPr>
        <w:jc w:val="center"/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</w:pPr>
      <w:r w:rsidRPr="7841C41E" w:rsidR="00A31E5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>COORDINADO</w:t>
      </w:r>
      <w:r w:rsidRPr="7841C41E" w:rsidR="5D3A552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>RA</w:t>
      </w:r>
      <w:r w:rsidRPr="7841C41E" w:rsidR="00A31E5E">
        <w:rPr>
          <w:rFonts w:ascii="Tahoma" w:hAnsi="Tahoma" w:cs="Tahoma"/>
          <w:b w:val="1"/>
          <w:bCs w:val="1"/>
          <w:sz w:val="20"/>
          <w:szCs w:val="20"/>
          <w:u w:val="single"/>
          <w:lang w:val="es-ES"/>
        </w:rPr>
        <w:t xml:space="preserve"> ESTATAL DE ENFERMEDADES CARDIOMETABÓLICAS</w:t>
      </w:r>
    </w:p>
    <w:p w:rsidRPr="005E543A" w:rsidR="0090068E" w:rsidP="7841C41E" w:rsidRDefault="00A31E5E" w14:paraId="6FDA4D52" w14:textId="35D73545">
      <w:pPr>
        <w:jc w:val="center"/>
        <w:rPr>
          <w:rFonts w:ascii="Tahoma" w:hAnsi="Tahoma" w:cs="Tahoma"/>
          <w:b w:val="1"/>
          <w:bCs w:val="1"/>
          <w:sz w:val="20"/>
          <w:szCs w:val="20"/>
          <w:lang w:val="es-ES"/>
        </w:rPr>
      </w:pPr>
    </w:p>
    <w:sectPr w:rsidRPr="005E543A" w:rsidR="0090068E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FA4" w:rsidP="00403BEF" w:rsidRDefault="00E20FA4" w14:paraId="2CA2F7D8" w14:textId="77777777">
      <w:r>
        <w:separator/>
      </w:r>
    </w:p>
  </w:endnote>
  <w:endnote w:type="continuationSeparator" w:id="0">
    <w:p w:rsidR="00E20FA4" w:rsidP="00403BEF" w:rsidRDefault="00E20FA4" w14:paraId="5208DE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FA4" w:rsidP="00403BEF" w:rsidRDefault="00E20FA4" w14:paraId="282668E1" w14:textId="77777777">
      <w:r>
        <w:separator/>
      </w:r>
    </w:p>
  </w:footnote>
  <w:footnote w:type="continuationSeparator" w:id="0">
    <w:p w:rsidR="00E20FA4" w:rsidP="00403BEF" w:rsidRDefault="00E20FA4" w14:paraId="5D4F96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C21A6"/>
    <w:rsid w:val="00145C68"/>
    <w:rsid w:val="00247842"/>
    <w:rsid w:val="002E329B"/>
    <w:rsid w:val="003228CD"/>
    <w:rsid w:val="003359C2"/>
    <w:rsid w:val="003362B6"/>
    <w:rsid w:val="00343CB4"/>
    <w:rsid w:val="003B0882"/>
    <w:rsid w:val="003C1FE1"/>
    <w:rsid w:val="00403BEF"/>
    <w:rsid w:val="00417085"/>
    <w:rsid w:val="00452BC4"/>
    <w:rsid w:val="005E543A"/>
    <w:rsid w:val="00605399"/>
    <w:rsid w:val="00631B3D"/>
    <w:rsid w:val="006AF6A0"/>
    <w:rsid w:val="00737E56"/>
    <w:rsid w:val="00740C54"/>
    <w:rsid w:val="007503FB"/>
    <w:rsid w:val="00790F1D"/>
    <w:rsid w:val="0090068E"/>
    <w:rsid w:val="00A31E5E"/>
    <w:rsid w:val="00A52F1B"/>
    <w:rsid w:val="00A54D5C"/>
    <w:rsid w:val="00AA55FD"/>
    <w:rsid w:val="00AC45B0"/>
    <w:rsid w:val="00B557F1"/>
    <w:rsid w:val="00C4566E"/>
    <w:rsid w:val="00C93464"/>
    <w:rsid w:val="00CC2207"/>
    <w:rsid w:val="00D0325B"/>
    <w:rsid w:val="00D54473"/>
    <w:rsid w:val="00DA03F9"/>
    <w:rsid w:val="00DE62A5"/>
    <w:rsid w:val="00E20FA4"/>
    <w:rsid w:val="00E66EA4"/>
    <w:rsid w:val="00FD0876"/>
    <w:rsid w:val="00FD47CD"/>
    <w:rsid w:val="00FD590E"/>
    <w:rsid w:val="063738C8"/>
    <w:rsid w:val="06C44BD5"/>
    <w:rsid w:val="06D9329B"/>
    <w:rsid w:val="0A37AB7E"/>
    <w:rsid w:val="0C2244CB"/>
    <w:rsid w:val="0C8934D7"/>
    <w:rsid w:val="12614151"/>
    <w:rsid w:val="1895942A"/>
    <w:rsid w:val="1C013F4A"/>
    <w:rsid w:val="1D6A8FA2"/>
    <w:rsid w:val="1E6EFF63"/>
    <w:rsid w:val="21002D09"/>
    <w:rsid w:val="254D4B15"/>
    <w:rsid w:val="27BF40BC"/>
    <w:rsid w:val="2ADCED35"/>
    <w:rsid w:val="2DE83689"/>
    <w:rsid w:val="313067B7"/>
    <w:rsid w:val="327F1036"/>
    <w:rsid w:val="3354C47B"/>
    <w:rsid w:val="372B557B"/>
    <w:rsid w:val="38D0BD8E"/>
    <w:rsid w:val="403BF9BD"/>
    <w:rsid w:val="480DA263"/>
    <w:rsid w:val="50BF521B"/>
    <w:rsid w:val="51BD11F9"/>
    <w:rsid w:val="525446E0"/>
    <w:rsid w:val="53C24D08"/>
    <w:rsid w:val="554E2F0E"/>
    <w:rsid w:val="5D3A552E"/>
    <w:rsid w:val="61ED57E5"/>
    <w:rsid w:val="62E67547"/>
    <w:rsid w:val="63C92491"/>
    <w:rsid w:val="66A75264"/>
    <w:rsid w:val="6721ABF6"/>
    <w:rsid w:val="6B66A5C5"/>
    <w:rsid w:val="6CAF876E"/>
    <w:rsid w:val="6FBD4D9B"/>
    <w:rsid w:val="70C070AA"/>
    <w:rsid w:val="7107655D"/>
    <w:rsid w:val="7841C41E"/>
    <w:rsid w:val="7995E2BD"/>
    <w:rsid w:val="7A1BF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9FE8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740C54"/>
    <w:rPr>
      <w:rFonts w:ascii="Times New Roman" w:hAnsi="Times New Roman" w:eastAsia="Calibri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7. Tasa de mortalidad por diabetes REPORTE PED 2023 OK 11052023</dc:title>
  <dc:subject/>
  <dc:creator>Dr. Walter Antonio Felix Perea</dc:creator>
  <keywords>7. Tasa de mortalidad por diabetes REPORTE PED 2023 OK 11052023</keywords>
  <dc:description/>
  <lastModifiedBy>Diana Chavira</lastModifiedBy>
  <revision>29</revision>
  <lastPrinted>2023-07-07T16:59:00.0000000Z</lastPrinted>
  <dcterms:created xsi:type="dcterms:W3CDTF">2023-05-11T19:10:00.0000000Z</dcterms:created>
  <dcterms:modified xsi:type="dcterms:W3CDTF">2025-10-09T17:52:53.0129637Z</dcterms:modified>
</coreProperties>
</file>