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C7FC" w14:textId="127D7C61" w:rsidR="79D38233" w:rsidRDefault="79D38233" w:rsidP="79D3823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9D382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9D3823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1A2D31F" w14:textId="2F76E768" w:rsidR="79D38233" w:rsidRDefault="79D38233" w:rsidP="79D3823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9D382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79D3823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A06F3" w:rsidRPr="00B026FE" w14:paraId="51B67A04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4B899B28" w:rsidR="00EA06F3" w:rsidRPr="00B026FE" w:rsidRDefault="79D3823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9D38233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EA06F3" w:rsidRPr="00B026FE" w14:paraId="474CB100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3E3FE7" w:rsidRPr="00B026FE" w14:paraId="0F68D40A" w14:textId="77777777" w:rsidTr="25E6C600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E3FE7" w:rsidRPr="00B026FE" w:rsidRDefault="003E3FE7" w:rsidP="003E3FE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="003E3FE7" w:rsidRPr="00B026FE" w14:paraId="24BAEA0F" w14:textId="77777777" w:rsidTr="25E6C600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E3FE7" w:rsidRPr="00B026FE" w:rsidRDefault="003E3FE7" w:rsidP="003E3FE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14:paraId="62544147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Tel: 7587000 Ext.:40399</w:t>
            </w:r>
          </w:p>
          <w:p w14:paraId="6BE135B1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="00EA06F3" w:rsidRPr="00B026FE" w14:paraId="02EB378F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A06F3" w:rsidRPr="00B026FE" w14:paraId="33665159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A06F3" w:rsidRPr="00B026FE" w14:paraId="282B9210" w14:textId="77777777" w:rsidTr="25E6C600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A06F3" w:rsidRPr="00B026FE" w:rsidRDefault="00EA06F3" w:rsidP="00DB5D9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sz w:val="15"/>
                <w:szCs w:val="15"/>
                <w:lang w:val="es-ES"/>
              </w:rPr>
              <w:t>I. Bienestar Social Sostenible</w:t>
            </w:r>
            <w:r w:rsidRPr="00B026FE">
              <w:rPr>
                <w:rFonts w:ascii="Arial" w:eastAsiaTheme="minorHAnsi" w:hAnsi="Arial" w:cs="Arial"/>
                <w:b/>
                <w:bCs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5A39BBE3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595576AA" w14:textId="77777777" w:rsidTr="25E6C600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41C8F396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12E78F" w14:textId="77777777" w:rsidR="00EA06F3" w:rsidRPr="00B026FE" w:rsidRDefault="00D81138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Objetivo Prioritario 1.1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Coordinar las acciones intersectoriales para fortalecer la salud de la mujer, la interrupción legal del embarazo, la reducción de mortalidad materna por cáncer de mama y cáncer cérvico uterino</w:t>
            </w:r>
          </w:p>
        </w:tc>
        <w:tc>
          <w:tcPr>
            <w:tcW w:w="6521" w:type="dxa"/>
            <w:vMerge/>
            <w:vAlign w:val="center"/>
          </w:tcPr>
          <w:p w14:paraId="72A3D3EC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07C8CCE1" w14:textId="77777777" w:rsidTr="25E6C600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0D0B940D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AD940D" w14:textId="77777777" w:rsidR="00EA06F3" w:rsidRPr="00B026FE" w:rsidRDefault="00D81138" w:rsidP="00DB5D94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Estrategia 1.1</w:t>
            </w:r>
            <w:r w:rsidR="00926501"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.1.2</w:t>
            </w:r>
            <w:r w:rsidR="00926501" w:rsidRPr="00B026FE">
              <w:rPr>
                <w:rFonts w:ascii="Arial" w:hAnsi="Arial" w:cs="Arial"/>
                <w:sz w:val="15"/>
                <w:szCs w:val="15"/>
                <w:lang w:val="es-ES"/>
              </w:rPr>
              <w:t xml:space="preserve"> otorgar servicios de planificación familiar, salud sexual y reproductiva en adolescentes</w:t>
            </w:r>
          </w:p>
        </w:tc>
        <w:tc>
          <w:tcPr>
            <w:tcW w:w="6521" w:type="dxa"/>
            <w:vMerge/>
            <w:vAlign w:val="center"/>
          </w:tcPr>
          <w:p w14:paraId="0E27B00A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0B1DE6E1" w14:textId="77777777" w:rsidTr="25E6C600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6FBF4A" w14:textId="77777777" w:rsidR="00EA06F3" w:rsidRPr="00B026FE" w:rsidRDefault="00EA06F3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r w:rsidR="00926501" w:rsidRPr="00B026FE">
              <w:rPr>
                <w:rFonts w:ascii="Arial" w:hAnsi="Arial" w:cs="Arial"/>
                <w:b/>
                <w:sz w:val="15"/>
                <w:szCs w:val="15"/>
              </w:rPr>
              <w:t>4.5</w:t>
            </w:r>
            <w:r w:rsidR="00926501" w:rsidRPr="00B026FE">
              <w:rPr>
                <w:rFonts w:ascii="Arial" w:hAnsi="Arial" w:cs="Arial"/>
                <w:sz w:val="15"/>
                <w:szCs w:val="15"/>
              </w:rPr>
              <w:t xml:space="preserve"> Salud Sexual y Reproductiva </w:t>
            </w:r>
          </w:p>
        </w:tc>
      </w:tr>
      <w:tr w:rsidR="00EA06F3" w:rsidRPr="00B026FE" w14:paraId="4F054CC1" w14:textId="77777777" w:rsidTr="25E6C600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60061E4C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7600FC" w14:textId="77777777" w:rsidR="00EA06F3" w:rsidRPr="00B026FE" w:rsidRDefault="00926501" w:rsidP="00DB5D94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Estrategia 4.5.2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Difundir a través de tecnología interactiva y redes sociales amigable y accesibles para las y los adolescentes y jóvenes información para promover el ejercicio consiente de sus derechos sexuales y reproductivos.</w:t>
            </w:r>
          </w:p>
        </w:tc>
      </w:tr>
      <w:tr w:rsidR="00EA06F3" w:rsidRPr="00B026FE" w14:paraId="1D6C138B" w14:textId="77777777" w:rsidTr="25E6C600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6B65EF1" w14:textId="77777777" w:rsidR="00EA06F3" w:rsidRPr="00B026FE" w:rsidRDefault="00EA06F3" w:rsidP="00DB5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6FE">
              <w:rPr>
                <w:rFonts w:ascii="Arial" w:eastAsia="Tahoma" w:hAnsi="Arial" w:cs="Arial"/>
                <w:sz w:val="16"/>
                <w:szCs w:val="16"/>
              </w:rPr>
              <w:t>Embarazos en adolescentes a través de eventos obstétricos.</w:t>
            </w:r>
          </w:p>
        </w:tc>
      </w:tr>
      <w:tr w:rsidR="00EA06F3" w:rsidRPr="00B026FE" w14:paraId="19F8E6A7" w14:textId="77777777" w:rsidTr="25E6C600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EF727E9" w14:textId="77777777" w:rsidR="00EA06F3" w:rsidRPr="00B026FE" w:rsidRDefault="00EA06F3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26FE">
              <w:rPr>
                <w:rFonts w:ascii="Arial" w:eastAsia="Arial" w:hAnsi="Arial" w:cs="Arial"/>
                <w:sz w:val="16"/>
                <w:szCs w:val="16"/>
              </w:rPr>
              <w:t>Se refiere al porcentaje de eventos obstétrico en población adolescentes en el periodo, en comparación con el total de eventos obstétrico ocurridos.</w:t>
            </w:r>
          </w:p>
        </w:tc>
      </w:tr>
      <w:tr w:rsidR="00EA06F3" w:rsidRPr="00B026FE" w14:paraId="05F34A9E" w14:textId="77777777" w:rsidTr="25E6C600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06F3" w:rsidRPr="007A71CD" w:rsidRDefault="6DFE56FF" w:rsidP="6DFE56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A71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EA06F3" w:rsidRPr="00B026FE" w14:paraId="7FEC1DDE" w14:textId="77777777" w:rsidTr="25E6C600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D0BD9" w14:textId="77777777" w:rsidR="00EA06F3" w:rsidRPr="007A71CD" w:rsidRDefault="6DFE56FF" w:rsidP="6DFE56F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7A71C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10,160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026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65808B3E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3E3FE7" w:rsidRPr="00B026FE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026F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06F3" w:rsidRPr="00B026FE" w:rsidRDefault="00EA06F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026F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06F3" w:rsidRPr="00B026FE" w14:paraId="7C7077C8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06F3" w:rsidRPr="007A71CD" w:rsidRDefault="00EA06F3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7A71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EA06F3" w:rsidRPr="00B026FE" w14:paraId="2FFF8E37" w14:textId="77777777" w:rsidTr="25E6C60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EA06F3" w:rsidRPr="007A71CD" w:rsidRDefault="00EA06F3" w:rsidP="00920C4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A71C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8DBB15B" w14:textId="77777777" w:rsidR="00EA06F3" w:rsidRPr="007A71CD" w:rsidRDefault="003E3FE7" w:rsidP="00920C4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A71CD">
              <w:rPr>
                <w:rFonts w:ascii="Arial" w:hAnsi="Arial" w:cs="Arial"/>
                <w:color w:val="000000" w:themeColor="text1"/>
                <w:sz w:val="16"/>
                <w:szCs w:val="16"/>
              </w:rPr>
              <w:t>Mínima: 29.0%  Optima: 28.0%</w:t>
            </w:r>
          </w:p>
        </w:tc>
      </w:tr>
      <w:tr w:rsidR="00EA06F3" w:rsidRPr="00B026FE" w14:paraId="5A1E43A1" w14:textId="77777777" w:rsidTr="25E6C600">
        <w:trPr>
          <w:gridAfter w:val="1"/>
          <w:wAfter w:w="6521" w:type="dxa"/>
          <w:trHeight w:val="643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3F551F0" w14:textId="77777777" w:rsidR="00B026FE" w:rsidRPr="007A71CD" w:rsidRDefault="6DFE56FF" w:rsidP="6DFE56F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7A71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</w:t>
            </w:r>
            <w:r w:rsidRPr="007A71CD">
              <w:rPr>
                <w:rFonts w:ascii="Arial" w:eastAsia="Tahoma" w:hAnsi="Arial" w:cs="Arial"/>
                <w:sz w:val="16"/>
                <w:szCs w:val="16"/>
              </w:rPr>
              <w:t xml:space="preserve"> 2024</w:t>
            </w:r>
          </w:p>
          <w:p w14:paraId="240FB7AC" w14:textId="0CEE31D0" w:rsidR="00EA06F3" w:rsidRPr="007A71CD" w:rsidRDefault="6DFE56FF" w:rsidP="6DFE56F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7A71CD">
              <w:rPr>
                <w:rFonts w:ascii="Tahoma" w:eastAsia="Tahoma" w:hAnsi="Tahoma" w:cs="Tahoma"/>
                <w:sz w:val="14"/>
                <w:szCs w:val="14"/>
              </w:rPr>
              <w:t xml:space="preserve">Mínima (2025): </w:t>
            </w:r>
            <w:r w:rsidR="00920C40" w:rsidRPr="007A71CD">
              <w:br/>
            </w:r>
            <w:r w:rsidRPr="007A71CD">
              <w:rPr>
                <w:rFonts w:ascii="Tahoma" w:eastAsia="Tahoma" w:hAnsi="Tahoma" w:cs="Tahoma"/>
                <w:sz w:val="14"/>
                <w:szCs w:val="14"/>
              </w:rPr>
              <w:t xml:space="preserve"> Óptima (2005):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06F3" w:rsidRPr="007A71CD" w:rsidRDefault="6DFE56FF" w:rsidP="6DFE56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7A71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EA06F3" w:rsidRPr="00B026FE" w14:paraId="40437253" w14:textId="77777777" w:rsidTr="25E6C60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06F3" w:rsidRPr="007A71CD" w:rsidRDefault="6DFE56FF" w:rsidP="6DFE56F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A71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0818" w14:textId="07798D2C" w:rsidR="00EA06F3" w:rsidRPr="007A71CD" w:rsidRDefault="25E6C600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A71C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23.34%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9F31CB" w14:textId="24FB1E84" w:rsidR="00EA06F3" w:rsidRPr="00B026FE" w:rsidRDefault="00EA06F3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3128261" w14:textId="18C4BF09" w:rsidR="00EA06F3" w:rsidRPr="00B026FE" w:rsidRDefault="00EA06F3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8981D12" w14:textId="0A19D5F9" w:rsidR="00EA06F3" w:rsidRPr="00B026FE" w:rsidRDefault="00EA06F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EA06F3" w:rsidRPr="00B026FE" w14:paraId="69FEA2B2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EA06F3" w:rsidRPr="007A71CD" w:rsidRDefault="6DFE56F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A71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655683" w:rsidRPr="00B026FE" w14:paraId="185C6C9C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DE1544" w14:textId="2CF1B385" w:rsidR="00655683" w:rsidRPr="007A71CD" w:rsidRDefault="25E6C600" w:rsidP="25E6C600">
            <w:pPr>
              <w:rPr>
                <w:rFonts w:ascii="Arial" w:eastAsia="Arial" w:hAnsi="Arial" w:cs="Arial"/>
                <w:color w:val="474747"/>
              </w:rPr>
            </w:pPr>
            <w:r w:rsidRPr="007A71CD"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7A71CD">
              <w:rPr>
                <w:rFonts w:ascii="Arial" w:eastAsia="Arial" w:hAnsi="Arial" w:cs="Arial"/>
                <w:sz w:val="16"/>
                <w:szCs w:val="16"/>
              </w:rPr>
              <w:t>Asegurar el acceso efectivo a una gama completa de métodos anticonceptivos, incluyendo los reversibles de acción prolongada (ARAP), para garantizar una elección libre e informada y la corresponsabilidad del varó</w:t>
            </w:r>
          </w:p>
        </w:tc>
      </w:tr>
      <w:tr w:rsidR="00655683" w:rsidRPr="00B026FE" w14:paraId="0A6FBDF2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CA2658" w14:textId="49976898" w:rsidR="00655683" w:rsidRPr="007A71CD" w:rsidRDefault="25E6C600" w:rsidP="6DFE56FF">
            <w:pPr>
              <w:rPr>
                <w:rFonts w:ascii="Arial" w:hAnsi="Arial" w:cs="Arial"/>
                <w:sz w:val="16"/>
                <w:szCs w:val="16"/>
              </w:rPr>
            </w:pPr>
            <w:r w:rsidRPr="007A71CD"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7A71CD">
              <w:rPr>
                <w:rFonts w:ascii="Arial" w:eastAsia="Arial" w:hAnsi="Arial" w:cs="Arial"/>
                <w:sz w:val="16"/>
                <w:szCs w:val="16"/>
              </w:rPr>
              <w:t>Garantizar el derecho de las niñas, los niños y la población adolescente a recibir educación integral en sexualidad en todos los niveles educativos de gestión pública y privada.</w:t>
            </w:r>
          </w:p>
          <w:p w14:paraId="57E69372" w14:textId="0E79040D" w:rsidR="00655683" w:rsidRPr="007A71CD" w:rsidRDefault="00655683" w:rsidP="6DFE56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83" w:rsidRPr="00B026FE" w14:paraId="08DB5328" w14:textId="77777777" w:rsidTr="25E6C60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5AC734D" w14:textId="443B3771" w:rsidR="00655683" w:rsidRPr="007A71CD" w:rsidRDefault="25E6C600" w:rsidP="6DFE56FF">
            <w:pPr>
              <w:rPr>
                <w:rFonts w:ascii="Arial" w:hAnsi="Arial" w:cs="Arial"/>
                <w:sz w:val="16"/>
                <w:szCs w:val="16"/>
              </w:rPr>
            </w:pPr>
            <w:r w:rsidRPr="007A71CD">
              <w:rPr>
                <w:rFonts w:ascii="Arial" w:hAnsi="Arial" w:cs="Arial"/>
                <w:sz w:val="16"/>
                <w:szCs w:val="16"/>
              </w:rPr>
              <w:t>C)</w:t>
            </w:r>
          </w:p>
          <w:p w14:paraId="021A6BD4" w14:textId="05FE6EA4" w:rsidR="00655683" w:rsidRPr="007A71CD" w:rsidRDefault="25E6C600" w:rsidP="6DFE56FF">
            <w:r w:rsidRPr="007A71CD">
              <w:rPr>
                <w:rFonts w:ascii="Arial" w:eastAsia="Arial" w:hAnsi="Arial" w:cs="Arial"/>
                <w:sz w:val="16"/>
                <w:szCs w:val="16"/>
              </w:rPr>
              <w:t>Incrementar la demanda y calidad de la atención de los servicios de salud sexual y reproductiva para adolescentes.</w:t>
            </w:r>
          </w:p>
        </w:tc>
      </w:tr>
      <w:tr w:rsidR="00EA06F3" w:rsidRPr="00B026FE" w14:paraId="1D2E2EF8" w14:textId="77777777" w:rsidTr="25E6C600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06F3" w:rsidRPr="007A71CD" w:rsidRDefault="6DFE56FF" w:rsidP="6DFE56F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7A71C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Observaciones: </w:t>
            </w:r>
          </w:p>
        </w:tc>
      </w:tr>
    </w:tbl>
    <w:p w14:paraId="3CF2D8B6" w14:textId="77777777" w:rsidR="00EA06F3" w:rsidRPr="00B026FE" w:rsidRDefault="00EA06F3" w:rsidP="6DFE56FF">
      <w:pPr>
        <w:tabs>
          <w:tab w:val="left" w:pos="463"/>
        </w:tabs>
        <w:rPr>
          <w:rFonts w:ascii="Arial" w:hAnsi="Arial" w:cs="Arial"/>
          <w:highlight w:val="yellow"/>
          <w:lang w:val="es-ES"/>
        </w:rPr>
      </w:pPr>
      <w:r w:rsidRPr="00B026FE">
        <w:rPr>
          <w:rFonts w:ascii="Arial" w:hAnsi="Arial" w:cs="Arial"/>
          <w:lang w:val="es-ES"/>
        </w:rPr>
        <w:tab/>
      </w:r>
    </w:p>
    <w:p w14:paraId="172FE3DC" w14:textId="77777777" w:rsidR="00EA06F3" w:rsidRPr="007A71CD" w:rsidRDefault="6DFE56FF" w:rsidP="6DFE56F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7A71CD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0FB78278" w14:textId="77777777" w:rsidR="00EA06F3" w:rsidRPr="007A71CD" w:rsidRDefault="00EA06F3" w:rsidP="6DFE56F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C39945" w14:textId="4ECE1D20" w:rsidR="0090068E" w:rsidRPr="007A71CD" w:rsidRDefault="25E6C600" w:rsidP="25E6C600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proofErr w:type="spellStart"/>
      <w:r w:rsidRPr="007A71CD">
        <w:rPr>
          <w:rFonts w:ascii="Arial" w:hAnsi="Arial" w:cs="Arial"/>
          <w:b/>
          <w:bCs/>
          <w:sz w:val="20"/>
          <w:szCs w:val="20"/>
          <w:lang w:val="es-ES"/>
        </w:rPr>
        <w:t>Lcda.Gabriela</w:t>
      </w:r>
      <w:proofErr w:type="spellEnd"/>
      <w:r w:rsidRPr="007A71CD">
        <w:rPr>
          <w:rFonts w:ascii="Arial" w:hAnsi="Arial" w:cs="Arial"/>
          <w:b/>
          <w:bCs/>
          <w:sz w:val="20"/>
          <w:szCs w:val="20"/>
          <w:lang w:val="es-ES"/>
        </w:rPr>
        <w:t xml:space="preserve"> Beltrán García </w:t>
      </w:r>
      <w:r w:rsidR="0090068E" w:rsidRPr="007A71CD">
        <w:br/>
      </w:r>
      <w:proofErr w:type="gramStart"/>
      <w:r w:rsidRPr="007A71CD">
        <w:rPr>
          <w:rFonts w:ascii="Arial" w:hAnsi="Arial" w:cs="Arial"/>
          <w:b/>
          <w:bCs/>
          <w:sz w:val="20"/>
          <w:szCs w:val="20"/>
          <w:lang w:val="es-ES"/>
        </w:rPr>
        <w:t>Responsable</w:t>
      </w:r>
      <w:proofErr w:type="gramEnd"/>
      <w:r w:rsidRPr="007A71CD">
        <w:rPr>
          <w:rFonts w:ascii="Arial" w:hAnsi="Arial" w:cs="Arial"/>
          <w:b/>
          <w:bCs/>
          <w:sz w:val="20"/>
          <w:szCs w:val="20"/>
          <w:lang w:val="es-ES"/>
        </w:rPr>
        <w:t xml:space="preserve"> estatal componente salud sexual y reproductiva para </w:t>
      </w:r>
      <w:proofErr w:type="spellStart"/>
      <w:r w:rsidRPr="007A71CD">
        <w:rPr>
          <w:rFonts w:ascii="Arial" w:hAnsi="Arial" w:cs="Arial"/>
          <w:b/>
          <w:bCs/>
          <w:sz w:val="20"/>
          <w:szCs w:val="20"/>
          <w:lang w:val="es-ES"/>
        </w:rPr>
        <w:t>adolescetes</w:t>
      </w:r>
      <w:proofErr w:type="spellEnd"/>
    </w:p>
    <w:sectPr w:rsidR="0090068E" w:rsidRPr="007A71CD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58F6" w14:textId="77777777" w:rsidR="001430DE" w:rsidRDefault="001430DE">
      <w:r>
        <w:separator/>
      </w:r>
    </w:p>
  </w:endnote>
  <w:endnote w:type="continuationSeparator" w:id="0">
    <w:p w14:paraId="071D8ED5" w14:textId="77777777" w:rsidR="001430DE" w:rsidRDefault="0014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813A" w14:textId="77777777" w:rsidR="001430DE" w:rsidRDefault="001430DE">
      <w:r>
        <w:separator/>
      </w:r>
    </w:p>
  </w:footnote>
  <w:footnote w:type="continuationSeparator" w:id="0">
    <w:p w14:paraId="24EEB44F" w14:textId="77777777" w:rsidR="001430DE" w:rsidRDefault="0014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9F1C16" w:rsidRDefault="00EA06F3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6BCD2" wp14:editId="4056BF0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2CB0E" w14:textId="77777777" w:rsidR="009F1C16" w:rsidRDefault="009F1C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3"/>
    <w:rsid w:val="00062972"/>
    <w:rsid w:val="001430DE"/>
    <w:rsid w:val="001B49F2"/>
    <w:rsid w:val="00204DDA"/>
    <w:rsid w:val="00247842"/>
    <w:rsid w:val="003362B6"/>
    <w:rsid w:val="003E3FE7"/>
    <w:rsid w:val="004465A7"/>
    <w:rsid w:val="004C06E2"/>
    <w:rsid w:val="005353E8"/>
    <w:rsid w:val="005D607D"/>
    <w:rsid w:val="00621FF2"/>
    <w:rsid w:val="00624FB1"/>
    <w:rsid w:val="00655683"/>
    <w:rsid w:val="006F5938"/>
    <w:rsid w:val="00713BA6"/>
    <w:rsid w:val="007A71CD"/>
    <w:rsid w:val="007E71E2"/>
    <w:rsid w:val="0085165E"/>
    <w:rsid w:val="008875BF"/>
    <w:rsid w:val="0090068E"/>
    <w:rsid w:val="00920C40"/>
    <w:rsid w:val="00926501"/>
    <w:rsid w:val="009F1C16"/>
    <w:rsid w:val="00A52F1B"/>
    <w:rsid w:val="00AC45B0"/>
    <w:rsid w:val="00B026FE"/>
    <w:rsid w:val="00B02A1E"/>
    <w:rsid w:val="00B557F1"/>
    <w:rsid w:val="00C868B4"/>
    <w:rsid w:val="00C95D30"/>
    <w:rsid w:val="00D07D8F"/>
    <w:rsid w:val="00D54473"/>
    <w:rsid w:val="00D81138"/>
    <w:rsid w:val="00E37CE0"/>
    <w:rsid w:val="00EA06F3"/>
    <w:rsid w:val="00EF2FCB"/>
    <w:rsid w:val="00F76746"/>
    <w:rsid w:val="00FA5BC5"/>
    <w:rsid w:val="06A4C17F"/>
    <w:rsid w:val="0CB8B667"/>
    <w:rsid w:val="25E6C600"/>
    <w:rsid w:val="623B50BE"/>
    <w:rsid w:val="6DFE56FF"/>
    <w:rsid w:val="79D3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79BD"/>
  <w15:chartTrackingRefBased/>
  <w15:docId w15:val="{066F8002-D2AE-A54F-8F55-3C913CC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06F3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06F3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2327</Characters>
  <Application>Microsoft Office Word</Application>
  <DocSecurity>0</DocSecurity>
  <Lines>86</Lines>
  <Paragraphs>72</Paragraphs>
  <ScaleCrop>false</ScaleCrop>
  <Manager/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15</cp:revision>
  <dcterms:created xsi:type="dcterms:W3CDTF">2023-10-13T16:36:00Z</dcterms:created>
  <dcterms:modified xsi:type="dcterms:W3CDTF">2025-04-15T19:43:00Z</dcterms:modified>
  <cp:category/>
</cp:coreProperties>
</file>