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62C1" w14:textId="3B869931" w:rsidR="13B5AFA2" w:rsidRDefault="13B5AFA2" w:rsidP="13B5AFA2">
      <w:pPr>
        <w:jc w:val="right"/>
      </w:pPr>
      <w:r w:rsidRPr="13B5AFA2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13B5AFA2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7A140BE4" w14:textId="5818D318" w:rsidR="13B5AFA2" w:rsidRDefault="13B5AFA2" w:rsidP="13B5AFA2">
      <w:pPr>
        <w:jc w:val="right"/>
        <w:rPr>
          <w:rFonts w:ascii="Arial" w:eastAsia="Arial" w:hAnsi="Arial" w:cs="Arial"/>
          <w:color w:val="000000" w:themeColor="text1"/>
          <w:sz w:val="21"/>
          <w:szCs w:val="21"/>
        </w:rPr>
      </w:pPr>
      <w:r w:rsidRPr="5A95CD2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</w:t>
      </w:r>
      <w:r w:rsidR="0E6EABC6" w:rsidRPr="5A95CD2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1</w:t>
      </w:r>
      <w:r w:rsidR="49D705C7" w:rsidRPr="5A95CD26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0</w:t>
      </w:r>
      <w:r w:rsidRPr="5A95CD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</w:t>
      </w:r>
      <w:r w:rsidR="19CB72A0" w:rsidRPr="5A95CD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0</w:t>
      </w:r>
      <w:r w:rsidR="6DECEF00" w:rsidRPr="5A95CD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1</w:t>
      </w:r>
      <w:r w:rsidRPr="5A95CD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/202</w:t>
      </w:r>
      <w:r w:rsidR="24DE9125" w:rsidRPr="5A95CD26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6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0A3573" w:rsidRPr="001539C2" w14:paraId="42C018A0" w14:textId="77777777" w:rsidTr="296CE6D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2F716D1B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</w:p>
          <w:p w14:paraId="2D737E46" w14:textId="0C23AE19" w:rsidR="000A3573" w:rsidRPr="001539C2" w:rsidRDefault="2D107857" w:rsidP="002C7B0B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2D107857">
              <w:rPr>
                <w:rFonts w:ascii="Arial" w:hAnsi="Arial" w:cs="Arial"/>
                <w:b/>
                <w:bCs/>
                <w:sz w:val="16"/>
                <w:szCs w:val="16"/>
              </w:rPr>
              <w:t>REPORTE DE AVANCE TRIMESTRALES CORRESPONDIENTE AL  PROGRAMA SECTORIAL DE SALUD  2022-2027  (EJERCICIO 2025)</w:t>
            </w:r>
          </w:p>
        </w:tc>
      </w:tr>
      <w:tr w:rsidR="000A3573" w:rsidRPr="001539C2" w14:paraId="0EB4D3D5" w14:textId="77777777" w:rsidTr="296CE6D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E7D79C1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</w:pPr>
            <w:bookmarkStart w:id="0" w:name="RANGE!B5:S50"/>
            <w:r w:rsidRPr="001539C2">
              <w:rPr>
                <w:rFonts w:ascii="Arial" w:hAnsi="Arial" w:cs="Arial"/>
                <w:b/>
                <w:bCs/>
                <w:sz w:val="16"/>
                <w:szCs w:val="18"/>
                <w:lang w:val="es-ES"/>
              </w:rPr>
              <w:t>1. DATOS DE IDENTIFICACIÓN DE LA META</w:t>
            </w:r>
            <w:bookmarkEnd w:id="0"/>
          </w:p>
        </w:tc>
      </w:tr>
      <w:tr w:rsidR="000A3573" w:rsidRPr="001539C2" w14:paraId="1FD785B0" w14:textId="77777777" w:rsidTr="296CE6D1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A2F4960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31ECE28" w14:textId="77777777" w:rsidR="000A3573" w:rsidRPr="001539C2" w:rsidRDefault="000A3573" w:rsidP="00DB5D94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0A3573" w:rsidRPr="001539C2" w14:paraId="3AC911E4" w14:textId="77777777" w:rsidTr="296CE6D1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A306A69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6EFDD6" w14:textId="77777777" w:rsidR="000808F3" w:rsidRPr="001539C2" w:rsidRDefault="000808F3" w:rsidP="000808F3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</w:t>
            </w:r>
            <w:proofErr w:type="gramStart"/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Leyva,   </w:t>
            </w:r>
            <w:proofErr w:type="gramEnd"/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Tel: 7587000 Ext.:40399</w:t>
            </w:r>
          </w:p>
          <w:p w14:paraId="230CBD5B" w14:textId="77777777" w:rsidR="000A3573" w:rsidRPr="001539C2" w:rsidRDefault="000808F3" w:rsidP="000808F3">
            <w:pPr>
              <w:rPr>
                <w:rFonts w:ascii="Arial" w:hAnsi="Arial" w:cs="Arial"/>
                <w:color w:val="C00000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0A3573" w:rsidRPr="001539C2" w14:paraId="62CB29F3" w14:textId="77777777" w:rsidTr="296CE6D1">
        <w:trPr>
          <w:gridAfter w:val="1"/>
          <w:wAfter w:w="1951" w:type="pct"/>
          <w:trHeight w:val="420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35B102F4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0A3573" w:rsidRPr="001539C2" w14:paraId="2DFD02EB" w14:textId="77777777" w:rsidTr="296CE6D1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7152AEB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8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21C3277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EC8E8CE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sz w:val="16"/>
                <w:szCs w:val="16"/>
                <w:lang w:val="es-ES"/>
              </w:rPr>
              <w:t>I</w:t>
            </w: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. Bienestar Social Sostenible</w:t>
            </w:r>
            <w:r w:rsidRPr="296CE6D1">
              <w:rPr>
                <w:rFonts w:ascii="Arial" w:eastAsiaTheme="minorEastAsia" w:hAnsi="Arial" w:cs="Arial"/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3C97FE21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="000A3573" w:rsidRPr="001539C2" w14:paraId="74573242" w14:textId="77777777" w:rsidTr="296CE6D1">
        <w:trPr>
          <w:trHeight w:val="1035"/>
        </w:trPr>
        <w:tc>
          <w:tcPr>
            <w:tcW w:w="755" w:type="pct"/>
            <w:vMerge/>
            <w:vAlign w:val="center"/>
            <w:hideMark/>
          </w:tcPr>
          <w:p w14:paraId="5E65BD6C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020C017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70945BB" w14:textId="77777777" w:rsidR="008A3960" w:rsidRPr="001539C2" w:rsidRDefault="002837D7" w:rsidP="00DB5D94">
            <w:pPr>
              <w:rPr>
                <w:rFonts w:ascii="Arial" w:hAnsi="Arial" w:cs="Arial"/>
                <w:b/>
                <w:sz w:val="13"/>
                <w:szCs w:val="15"/>
              </w:rPr>
            </w:pPr>
            <w:r w:rsidRPr="001539C2">
              <w:rPr>
                <w:rFonts w:ascii="Arial" w:hAnsi="Arial" w:cs="Arial"/>
                <w:b/>
                <w:sz w:val="13"/>
                <w:szCs w:val="15"/>
              </w:rPr>
              <w:t xml:space="preserve">Objetivo Prioritario 6.1 </w:t>
            </w:r>
          </w:p>
          <w:p w14:paraId="0375DC65" w14:textId="4A81222F" w:rsidR="000A3573" w:rsidRPr="001539C2" w:rsidRDefault="002837D7" w:rsidP="296CE6D1">
            <w:pPr>
              <w:rPr>
                <w:rFonts w:ascii="Arial" w:hAnsi="Arial" w:cs="Arial"/>
                <w:color w:val="000000" w:themeColor="text1"/>
                <w:sz w:val="13"/>
                <w:szCs w:val="13"/>
              </w:rPr>
            </w:pP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5B94BE59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="000A3573" w:rsidRPr="001539C2" w14:paraId="3FA3567C" w14:textId="77777777" w:rsidTr="296CE6D1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50300470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D271D45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9ABF13" w14:textId="77777777" w:rsidR="000A3573" w:rsidRPr="001539C2" w:rsidRDefault="002837D7" w:rsidP="296CE6D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Estrategia 6.1.3                                                                                                                                                     </w:t>
            </w: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Avanzar en la implementación del enfoque de atención primaria para la salud.</w:t>
            </w:r>
          </w:p>
        </w:tc>
        <w:tc>
          <w:tcPr>
            <w:tcW w:w="1951" w:type="pct"/>
            <w:vMerge/>
            <w:vAlign w:val="center"/>
          </w:tcPr>
          <w:p w14:paraId="0BA12208" w14:textId="77777777" w:rsidR="000A3573" w:rsidRPr="001539C2" w:rsidRDefault="000A3573" w:rsidP="00DB5D94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</w:p>
        </w:tc>
      </w:tr>
      <w:tr w:rsidR="002837D7" w:rsidRPr="001539C2" w14:paraId="541B7A8F" w14:textId="77777777" w:rsidTr="296CE6D1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839BB1F" w14:textId="77777777" w:rsidR="002837D7" w:rsidRPr="001539C2" w:rsidRDefault="002837D7" w:rsidP="002837D7">
            <w:pPr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8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9CC7990" w14:textId="77777777" w:rsidR="002837D7" w:rsidRPr="001539C2" w:rsidRDefault="002837D7" w:rsidP="002837D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AF049A" w14:textId="77777777" w:rsidR="008A3960" w:rsidRPr="001539C2" w:rsidRDefault="002837D7" w:rsidP="296CE6D1">
            <w:pPr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</w:pPr>
            <w:r w:rsidRPr="296CE6D1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Objetivo Prioritario 6.1 </w:t>
            </w:r>
          </w:p>
          <w:p w14:paraId="14607955" w14:textId="16CA9B28" w:rsidR="002837D7" w:rsidRPr="001539C2" w:rsidRDefault="002837D7" w:rsidP="002837D7">
            <w:pPr>
              <w:rPr>
                <w:rFonts w:ascii="Arial" w:hAnsi="Arial" w:cs="Arial"/>
                <w:sz w:val="13"/>
                <w:szCs w:val="13"/>
              </w:rPr>
            </w:pP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 xml:space="preserve">Garantizar a la </w:t>
            </w:r>
            <w:r w:rsidR="008A3960"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s</w:t>
            </w: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2837D7" w:rsidRPr="001539C2" w14:paraId="0527C06C" w14:textId="77777777" w:rsidTr="296CE6D1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3D39A122" w14:textId="77777777" w:rsidR="002837D7" w:rsidRPr="001539C2" w:rsidRDefault="002837D7" w:rsidP="002837D7">
            <w:pPr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6E75F61" w14:textId="77777777" w:rsidR="002837D7" w:rsidRPr="001539C2" w:rsidRDefault="002837D7" w:rsidP="002837D7">
            <w:pPr>
              <w:rPr>
                <w:rFonts w:ascii="Arial" w:hAnsi="Arial" w:cs="Arial"/>
                <w:sz w:val="16"/>
                <w:szCs w:val="18"/>
                <w:lang w:val="es-ES"/>
              </w:rPr>
            </w:pPr>
            <w:r w:rsidRPr="001539C2">
              <w:rPr>
                <w:rFonts w:ascii="Arial" w:hAnsi="Arial" w:cs="Arial"/>
                <w:sz w:val="16"/>
                <w:szCs w:val="18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42F7C2" w14:textId="77777777" w:rsidR="002837D7" w:rsidRPr="001539C2" w:rsidRDefault="002837D7" w:rsidP="296CE6D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b/>
                <w:bCs/>
                <w:color w:val="000000" w:themeColor="text1"/>
                <w:sz w:val="13"/>
                <w:szCs w:val="13"/>
              </w:rPr>
              <w:t xml:space="preserve">Estrategia 6.1.3                                                                                                                                                     </w:t>
            </w:r>
            <w:r w:rsidRPr="296CE6D1">
              <w:rPr>
                <w:rFonts w:ascii="Arial" w:hAnsi="Arial" w:cs="Arial"/>
                <w:color w:val="000000" w:themeColor="text1"/>
                <w:sz w:val="13"/>
                <w:szCs w:val="13"/>
              </w:rPr>
              <w:t>Avanzar en la implementación del enfoque de atención primaria para la salud.</w:t>
            </w:r>
          </w:p>
        </w:tc>
      </w:tr>
      <w:tr w:rsidR="000A3573" w:rsidRPr="001539C2" w14:paraId="6F4ABC1B" w14:textId="77777777" w:rsidTr="296CE6D1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0D94C6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11149D8" w14:textId="0894097E" w:rsidR="000A3573" w:rsidRPr="001539C2" w:rsidRDefault="7F56E6C2" w:rsidP="1A3E5531">
            <w:pPr>
              <w:rPr>
                <w:rFonts w:ascii="Arial" w:eastAsia="Tahoma" w:hAnsi="Arial" w:cs="Arial"/>
                <w:sz w:val="16"/>
                <w:szCs w:val="16"/>
                <w:lang w:val="es-ES"/>
              </w:rPr>
            </w:pPr>
            <w:r w:rsidRPr="296CE6D1">
              <w:rPr>
                <w:rFonts w:ascii="Arial" w:eastAsia="Tahoma" w:hAnsi="Arial" w:cs="Arial"/>
                <w:sz w:val="16"/>
                <w:szCs w:val="16"/>
              </w:rPr>
              <w:t>1</w:t>
            </w:r>
            <w:r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.- Atender a </w:t>
            </w:r>
            <w:r w:rsidR="07349E8D"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8</w:t>
            </w:r>
            <w:r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,</w:t>
            </w:r>
            <w:r w:rsidR="6AF10A83"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>000</w:t>
            </w:r>
            <w:r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mujeres de 15 años o más que sufrieron violencia, en los servicios especializados de los Servicios de Salud de Sinaloa.</w:t>
            </w:r>
          </w:p>
        </w:tc>
      </w:tr>
      <w:tr w:rsidR="000A3573" w:rsidRPr="001539C2" w14:paraId="6DE662A3" w14:textId="77777777" w:rsidTr="296CE6D1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F5371" w14:textId="77777777" w:rsidR="000A3573" w:rsidRPr="001539C2" w:rsidRDefault="000A3573" w:rsidP="00DB5D94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49D0E4CD" w14:textId="77777777" w:rsidR="000A3573" w:rsidRPr="001539C2" w:rsidRDefault="005D51FF" w:rsidP="296CE6D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Determina el rango de edad de mujeres de 15 años y más a las que se les aplicó herramienta de detección y resultaron positivas.  </w:t>
            </w:r>
          </w:p>
        </w:tc>
      </w:tr>
      <w:tr w:rsidR="000A3573" w:rsidRPr="001539C2" w14:paraId="50E4EEEE" w14:textId="77777777" w:rsidTr="296CE6D1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630312" w14:textId="77777777" w:rsidR="000A3573" w:rsidRPr="001539C2" w:rsidRDefault="000A3573" w:rsidP="00DB5D94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79AD1F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DF34118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1536D2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0A3573" w:rsidRPr="001539C2" w14:paraId="746E9932" w14:textId="77777777" w:rsidTr="296CE6D1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AEF5BA" w14:textId="77777777" w:rsidR="000A3573" w:rsidRPr="001539C2" w:rsidRDefault="00806B39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eastAsia="Tahoma" w:hAnsi="Arial" w:cs="Arial"/>
                <w:sz w:val="16"/>
                <w:szCs w:val="16"/>
              </w:rPr>
              <w:t>Mujeres de 15 años y más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15D589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(2021)</w:t>
            </w:r>
          </w:p>
          <w:p w14:paraId="08ADB114" w14:textId="77777777" w:rsidR="00EA1C0E" w:rsidRPr="001539C2" w:rsidRDefault="00EA1C0E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A6F0A9C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F6BAF1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0A3573" w:rsidRPr="001539C2" w14:paraId="35B28765" w14:textId="77777777" w:rsidTr="296CE6D1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51F817B6" w14:textId="77777777" w:rsidR="000A3573" w:rsidRPr="001539C2" w:rsidRDefault="000A357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0A3573" w:rsidRPr="001539C2" w14:paraId="63EEEAF8" w14:textId="77777777" w:rsidTr="296CE6D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4A240C0B" w14:textId="77777777" w:rsidR="000A3573" w:rsidRPr="001539C2" w:rsidRDefault="000A3573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3. CUMPLIMIENTO:</w:t>
            </w:r>
          </w:p>
        </w:tc>
      </w:tr>
      <w:tr w:rsidR="000A3573" w:rsidRPr="001539C2" w14:paraId="392FFFBD" w14:textId="77777777" w:rsidTr="296CE6D1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FB9184A" w14:textId="77777777" w:rsidR="000A3573" w:rsidRPr="001539C2" w:rsidRDefault="000A3573" w:rsidP="008A3960">
            <w:pPr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Meta Sexenal: 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AE5B3CF" w14:textId="77777777" w:rsidR="000A3573" w:rsidRPr="001539C2" w:rsidRDefault="00BC1362" w:rsidP="008A3960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Mínima: </w:t>
            </w:r>
            <w:r w:rsidR="004A13B0"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22.0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     </w:t>
            </w:r>
            <w:r w:rsidR="000A3573"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a óptima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:     </w:t>
            </w:r>
            <w:r w:rsidR="004A13B0"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23.0</w:t>
            </w: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 </w:t>
            </w:r>
          </w:p>
        </w:tc>
      </w:tr>
      <w:tr w:rsidR="000A3573" w:rsidRPr="001539C2" w14:paraId="06FAB509" w14:textId="77777777" w:rsidTr="296CE6D1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0172D2F3" w14:textId="1EE5D7BB" w:rsidR="000A3573" w:rsidRPr="001539C2" w:rsidRDefault="72390DF3" w:rsidP="00DB5D94">
            <w:pPr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</w:pPr>
            <w:r w:rsidRPr="72390DF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s-ES"/>
              </w:rPr>
              <w:t>Meta anual programada 2025:</w:t>
            </w:r>
            <w:r w:rsidRPr="72390DF3">
              <w:rPr>
                <w:rFonts w:ascii="Arial" w:eastAsia="Tahoma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32FC9920" w14:textId="40AD8BFE" w:rsidR="008A3960" w:rsidRPr="001539C2" w:rsidRDefault="72390DF3" w:rsidP="008A3960">
            <w:pPr>
              <w:rPr>
                <w:rFonts w:ascii="Arial" w:hAnsi="Arial" w:cs="Arial"/>
                <w:sz w:val="16"/>
                <w:szCs w:val="16"/>
              </w:rPr>
            </w:pPr>
            <w:r w:rsidRPr="72390DF3">
              <w:rPr>
                <w:rFonts w:ascii="Arial" w:eastAsia="Tahoma" w:hAnsi="Arial" w:cs="Arial"/>
                <w:sz w:val="16"/>
                <w:szCs w:val="16"/>
              </w:rPr>
              <w:t>Mínima (2025):  22.0</w:t>
            </w:r>
          </w:p>
          <w:p w14:paraId="2D136D39" w14:textId="0468AD33" w:rsidR="000A3573" w:rsidRPr="001539C2" w:rsidRDefault="72390DF3" w:rsidP="00DB5D94">
            <w:pPr>
              <w:rPr>
                <w:rFonts w:ascii="Arial" w:hAnsi="Arial" w:cs="Arial"/>
                <w:sz w:val="16"/>
                <w:szCs w:val="16"/>
              </w:rPr>
            </w:pPr>
            <w:r w:rsidRPr="72390DF3">
              <w:rPr>
                <w:rFonts w:ascii="Arial" w:eastAsia="Tahoma" w:hAnsi="Arial" w:cs="Arial"/>
                <w:sz w:val="16"/>
                <w:szCs w:val="16"/>
              </w:rPr>
              <w:t>Óptima (2025): 22.4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51FF58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DBDBDEE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32C2548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F9F227C" w14:textId="77777777" w:rsidR="000A3573" w:rsidRPr="001539C2" w:rsidRDefault="000A3573" w:rsidP="004A13B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>Cuarto Trimestre</w:t>
            </w:r>
          </w:p>
        </w:tc>
      </w:tr>
      <w:tr w:rsidR="000A3573" w:rsidRPr="001539C2" w14:paraId="76FD2D7B" w14:textId="77777777" w:rsidTr="296CE6D1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AFFC068" w14:textId="77777777" w:rsidR="000A3573" w:rsidRPr="001539C2" w:rsidRDefault="000A3573" w:rsidP="00DB5D9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AF2A" w14:textId="2AC007C0" w:rsidR="00231E4E" w:rsidRPr="001539C2" w:rsidRDefault="19D12D6E" w:rsidP="5F5D43F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A3E553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</w:t>
            </w:r>
            <w:r w:rsidR="536A5E08" w:rsidRPr="1A3E553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7.75</w:t>
            </w:r>
            <w:r w:rsidRPr="1A3E553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%</w:t>
            </w:r>
          </w:p>
          <w:p w14:paraId="20854115" w14:textId="6312AFC1" w:rsidR="00231E4E" w:rsidRPr="001539C2" w:rsidRDefault="04D84CD3" w:rsidP="5F5D43F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4D84CD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(1,420 Herramientas aplicadas </w:t>
            </w:r>
            <w:proofErr w:type="gramStart"/>
            <w:r w:rsidRPr="04D84CD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que  resultaron</w:t>
            </w:r>
            <w:proofErr w:type="gramEnd"/>
            <w:r w:rsidRPr="04D84CD3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positivas).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CAC1ADC" w14:textId="4D38F69A" w:rsidR="00097BD4" w:rsidRPr="001539C2" w:rsidRDefault="4DB3EAD4" w:rsidP="1A3E553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1A3E553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 </w:t>
            </w:r>
            <w:r w:rsidR="3510750C" w:rsidRPr="1A3E5531">
              <w:rPr>
                <w:rFonts w:ascii="Arial" w:hAnsi="Arial" w:cs="Arial"/>
                <w:color w:val="000000" w:themeColor="text1"/>
                <w:sz w:val="16"/>
                <w:szCs w:val="16"/>
              </w:rPr>
              <w:t>21.28%</w:t>
            </w:r>
          </w:p>
          <w:p w14:paraId="331E7A4D" w14:textId="6E222BCA" w:rsidR="00097BD4" w:rsidRPr="001539C2" w:rsidRDefault="3510750C" w:rsidP="04D84CD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1A3E5531">
              <w:rPr>
                <w:rFonts w:ascii="Arial" w:hAnsi="Arial" w:cs="Arial"/>
                <w:color w:val="000000" w:themeColor="text1"/>
                <w:sz w:val="16"/>
                <w:szCs w:val="16"/>
              </w:rPr>
              <w:t>(1,703 Herramientas aplicadas que resultaron positivas).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71C7620" w14:textId="096F43B3" w:rsidR="00FD4987" w:rsidRPr="001539C2" w:rsidRDefault="42E1C0B6" w:rsidP="4564AC5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564AC5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15.57%</w:t>
            </w:r>
          </w:p>
          <w:p w14:paraId="3346B43D" w14:textId="2538936E" w:rsidR="00FD4987" w:rsidRPr="001539C2" w:rsidRDefault="42E1C0B6" w:rsidP="00891A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4564AC59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(1,246 Herramientas aplicadas que resultaron positivas)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A7D60F3" w14:textId="4F1D73ED" w:rsidR="000A3573" w:rsidRPr="001539C2" w:rsidRDefault="46CC8055" w:rsidP="04D84CD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</w:rPr>
              <w:t>15.67%                         (1,254 Herramientas aplicadas que resultaron positivas)</w:t>
            </w:r>
          </w:p>
        </w:tc>
      </w:tr>
      <w:tr w:rsidR="000A3573" w:rsidRPr="001539C2" w14:paraId="433C99DA" w14:textId="77777777" w:rsidTr="296CE6D1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9C6B467" w14:textId="77777777" w:rsidR="000A3573" w:rsidRPr="001539C2" w:rsidRDefault="009E2FCB" w:rsidP="00724AB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</w:t>
            </w: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703C2D7" w14:textId="77777777" w:rsidR="000A3573" w:rsidRPr="001539C2" w:rsidRDefault="000A3573" w:rsidP="00B5794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6566967" w14:textId="77777777" w:rsidR="000A3573" w:rsidRPr="001539C2" w:rsidRDefault="000A3573" w:rsidP="00B5794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2C167035" w14:textId="77777777" w:rsidR="000A3573" w:rsidRPr="001539C2" w:rsidRDefault="000A3573" w:rsidP="00B5794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73DB6848" w14:textId="77777777" w:rsidR="000A3573" w:rsidRPr="001539C2" w:rsidRDefault="000A3573" w:rsidP="00B5794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</w:tr>
      <w:tr w:rsidR="000A3573" w:rsidRPr="001539C2" w14:paraId="6A99A00B" w14:textId="77777777" w:rsidTr="296CE6D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6E7183D" w14:textId="77777777" w:rsidR="000A3573" w:rsidRPr="001539C2" w:rsidRDefault="000A3573" w:rsidP="00DB5D94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1539C2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0A3573" w:rsidRPr="001539C2" w14:paraId="174B40EA" w14:textId="77777777" w:rsidTr="296CE6D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29DB591" w14:textId="7BBDFC79" w:rsidR="000A3573" w:rsidRPr="001539C2" w:rsidRDefault="04D84CD3" w:rsidP="296CE6D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Continuar con la difusión y promoción pláticas a mujeres de 15 años y más, aplicación de herramientas de detección dentro de las unidades de salud.</w:t>
            </w:r>
          </w:p>
        </w:tc>
      </w:tr>
      <w:tr w:rsidR="000A3573" w:rsidRPr="001539C2" w14:paraId="29F56595" w14:textId="77777777" w:rsidTr="296CE6D1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D05FE31" w14:textId="6689B346" w:rsidR="000A3573" w:rsidRPr="001539C2" w:rsidRDefault="5F5D43FB" w:rsidP="296CE6D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Pláticas</w:t>
            </w:r>
            <w:r w:rsidR="3A3B6754"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</w:t>
            </w: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continuas dentro de las unidades, así como promoción en ferias de la salud</w:t>
            </w:r>
            <w:r w:rsidR="2FC95ED9"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, así también se han impartido capacitaciones en diferentes municipios del estado, impartidos al personal de saluda, para que cuente con herramientas </w:t>
            </w:r>
            <w:r w:rsidR="176F0953"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y esté sensibilizado para la atención a las mujeres víctimas de violencia. </w:t>
            </w:r>
            <w:r w:rsidR="47F9CE20"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 trabaja en conjunto con las instituciones de IMSS (Ordinario), IMSS Bienestar, ISSSTE, así como del sector sa</w:t>
            </w:r>
            <w:r w:rsidR="7FE24A41"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lud.</w:t>
            </w:r>
          </w:p>
        </w:tc>
      </w:tr>
      <w:tr w:rsidR="000A3573" w:rsidRPr="001539C2" w14:paraId="27F5E0FE" w14:textId="77777777" w:rsidTr="296CE6D1">
        <w:trPr>
          <w:gridAfter w:val="1"/>
          <w:wAfter w:w="1951" w:type="pct"/>
          <w:trHeight w:val="34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646DF6B" w14:textId="15F38FD5" w:rsidR="000A3573" w:rsidRPr="001539C2" w:rsidRDefault="04D84CD3" w:rsidP="296CE6D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Continuar trabajando </w:t>
            </w:r>
            <w:proofErr w:type="gramStart"/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en  sensibilizar</w:t>
            </w:r>
            <w:proofErr w:type="gramEnd"/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al personal de salud en tema de violencia, regidos por  la NOM-046.</w:t>
            </w:r>
          </w:p>
        </w:tc>
      </w:tr>
      <w:tr w:rsidR="000A3573" w:rsidRPr="001539C2" w14:paraId="0DF337AA" w14:textId="77777777" w:rsidTr="296CE6D1">
        <w:trPr>
          <w:gridAfter w:val="1"/>
          <w:wAfter w:w="1951" w:type="pct"/>
          <w:trHeight w:val="33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EC530F0" w14:textId="61A92315" w:rsidR="000A3573" w:rsidRPr="001539C2" w:rsidRDefault="5F5D43FB" w:rsidP="296CE6D1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Observaciones: Atención a mujeres de 15 años y más, que se les aplicó herramienta de detección y resultaron positivas</w:t>
            </w:r>
            <w:r w:rsidR="68F5254C" w:rsidRPr="296CE6D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, durante el 4to. Trimestres de trabajó en la difusión y promoción dentro de las unidades de salud, para que la población cuente con la información y sepa a donde acudir para la atención oportuna.</w:t>
            </w:r>
          </w:p>
        </w:tc>
      </w:tr>
    </w:tbl>
    <w:p w14:paraId="46AB2B61" w14:textId="77777777" w:rsidR="000A3573" w:rsidRPr="001539C2" w:rsidRDefault="000A3573" w:rsidP="000A357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1539C2">
        <w:rPr>
          <w:rFonts w:ascii="Arial" w:hAnsi="Arial" w:cs="Arial"/>
          <w:sz w:val="16"/>
          <w:szCs w:val="16"/>
          <w:lang w:val="es-ES"/>
        </w:rPr>
        <w:tab/>
      </w:r>
    </w:p>
    <w:p w14:paraId="2FAC120A" w14:textId="77777777" w:rsidR="000A3573" w:rsidRPr="001539C2" w:rsidRDefault="000A3573" w:rsidP="000A3573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773CCF63" w14:textId="77777777" w:rsidR="000A3573" w:rsidRPr="001539C2" w:rsidRDefault="000A3573" w:rsidP="000A3573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72ED0D49" w14:textId="77777777" w:rsidR="000A3573" w:rsidRPr="001539C2" w:rsidRDefault="000A3573" w:rsidP="000A3573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_____________________________</w:t>
      </w:r>
    </w:p>
    <w:p w14:paraId="36A5216E" w14:textId="77777777" w:rsidR="008847DA" w:rsidRPr="001539C2" w:rsidRDefault="008847DA" w:rsidP="008847DA">
      <w:pPr>
        <w:jc w:val="center"/>
        <w:rPr>
          <w:rFonts w:ascii="Arial" w:hAnsi="Arial" w:cs="Arial"/>
          <w:bCs/>
          <w:sz w:val="16"/>
          <w:szCs w:val="16"/>
          <w:lang w:val="es-ES"/>
        </w:rPr>
      </w:pPr>
      <w:r w:rsidRPr="001539C2">
        <w:rPr>
          <w:rFonts w:ascii="Arial" w:hAnsi="Arial" w:cs="Arial"/>
          <w:bCs/>
          <w:sz w:val="16"/>
          <w:szCs w:val="16"/>
          <w:lang w:val="es-ES"/>
        </w:rPr>
        <w:t>Lcda. María del Rosario Ramos Russell</w:t>
      </w:r>
    </w:p>
    <w:p w14:paraId="780042E9" w14:textId="77777777" w:rsidR="008847DA" w:rsidRPr="001539C2" w:rsidRDefault="008847DA" w:rsidP="008847D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1539C2">
        <w:rPr>
          <w:rFonts w:ascii="Arial" w:hAnsi="Arial" w:cs="Arial"/>
          <w:b/>
          <w:sz w:val="16"/>
          <w:szCs w:val="16"/>
          <w:lang w:val="es-ES"/>
        </w:rPr>
        <w:t>Coordinadora Estatal del Programa de Violencia de Género</w:t>
      </w:r>
    </w:p>
    <w:p w14:paraId="0B23A155" w14:textId="1E9A1AF8" w:rsidR="00724AB3" w:rsidRPr="001539C2" w:rsidRDefault="00724AB3" w:rsidP="00724AB3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sectPr w:rsidR="00724AB3" w:rsidRPr="001539C2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0136F" w14:textId="77777777" w:rsidR="00826A42" w:rsidRDefault="00826A42">
      <w:r>
        <w:separator/>
      </w:r>
    </w:p>
  </w:endnote>
  <w:endnote w:type="continuationSeparator" w:id="0">
    <w:p w14:paraId="6B73E957" w14:textId="77777777" w:rsidR="00826A42" w:rsidRDefault="0082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0A9D4" w14:textId="77777777" w:rsidR="00826A42" w:rsidRDefault="00826A42">
      <w:r>
        <w:separator/>
      </w:r>
    </w:p>
  </w:footnote>
  <w:footnote w:type="continuationSeparator" w:id="0">
    <w:p w14:paraId="749FDC6D" w14:textId="77777777" w:rsidR="00826A42" w:rsidRDefault="00826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FAB9A" w14:textId="77777777" w:rsidR="001E1FBE" w:rsidRDefault="00E121E0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F7AACE0" wp14:editId="0046F022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1873E29" w14:textId="77777777" w:rsidR="001E1FBE" w:rsidRDefault="001E1F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43445"/>
    <w:multiLevelType w:val="hybridMultilevel"/>
    <w:tmpl w:val="23583098"/>
    <w:lvl w:ilvl="0" w:tplc="15444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630A6"/>
    <w:multiLevelType w:val="hybridMultilevel"/>
    <w:tmpl w:val="E90E58D0"/>
    <w:lvl w:ilvl="0" w:tplc="74DEE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372402">
    <w:abstractNumId w:val="0"/>
  </w:num>
  <w:num w:numId="2" w16cid:durableId="1419013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573"/>
    <w:rsid w:val="00062972"/>
    <w:rsid w:val="000808F3"/>
    <w:rsid w:val="00097BD4"/>
    <w:rsid w:val="000A3573"/>
    <w:rsid w:val="000C4FB1"/>
    <w:rsid w:val="001539C2"/>
    <w:rsid w:val="00157358"/>
    <w:rsid w:val="001D61FD"/>
    <w:rsid w:val="001E1FBE"/>
    <w:rsid w:val="00231E4E"/>
    <w:rsid w:val="00247842"/>
    <w:rsid w:val="002837D7"/>
    <w:rsid w:val="002C7B0B"/>
    <w:rsid w:val="002D1490"/>
    <w:rsid w:val="002D3281"/>
    <w:rsid w:val="003362B6"/>
    <w:rsid w:val="00357EC3"/>
    <w:rsid w:val="003D0000"/>
    <w:rsid w:val="004751B3"/>
    <w:rsid w:val="004A13B0"/>
    <w:rsid w:val="004D46D6"/>
    <w:rsid w:val="005D51FF"/>
    <w:rsid w:val="006A46F9"/>
    <w:rsid w:val="00723BA2"/>
    <w:rsid w:val="00724AB3"/>
    <w:rsid w:val="00743E35"/>
    <w:rsid w:val="00750408"/>
    <w:rsid w:val="007F0409"/>
    <w:rsid w:val="00806B39"/>
    <w:rsid w:val="00826A42"/>
    <w:rsid w:val="008516DA"/>
    <w:rsid w:val="008847DA"/>
    <w:rsid w:val="00891A00"/>
    <w:rsid w:val="008A3960"/>
    <w:rsid w:val="0090068E"/>
    <w:rsid w:val="0099546A"/>
    <w:rsid w:val="009E2FCB"/>
    <w:rsid w:val="00A52F1B"/>
    <w:rsid w:val="00AC45B0"/>
    <w:rsid w:val="00B30297"/>
    <w:rsid w:val="00B3041C"/>
    <w:rsid w:val="00B557F1"/>
    <w:rsid w:val="00B57949"/>
    <w:rsid w:val="00B86D78"/>
    <w:rsid w:val="00BC1362"/>
    <w:rsid w:val="00BD6EC2"/>
    <w:rsid w:val="00C20AF9"/>
    <w:rsid w:val="00C2276D"/>
    <w:rsid w:val="00D54473"/>
    <w:rsid w:val="00D60711"/>
    <w:rsid w:val="00E121E0"/>
    <w:rsid w:val="00E124C1"/>
    <w:rsid w:val="00E8523A"/>
    <w:rsid w:val="00EA1C0E"/>
    <w:rsid w:val="00EC4ED5"/>
    <w:rsid w:val="00F3609E"/>
    <w:rsid w:val="00F72030"/>
    <w:rsid w:val="00FB00CA"/>
    <w:rsid w:val="00FD4987"/>
    <w:rsid w:val="04D84CD3"/>
    <w:rsid w:val="07349E8D"/>
    <w:rsid w:val="07792323"/>
    <w:rsid w:val="0E6EABC6"/>
    <w:rsid w:val="13B5AFA2"/>
    <w:rsid w:val="15B43EF8"/>
    <w:rsid w:val="16D2E391"/>
    <w:rsid w:val="176F0953"/>
    <w:rsid w:val="1859055F"/>
    <w:rsid w:val="19CB72A0"/>
    <w:rsid w:val="19D12D6E"/>
    <w:rsid w:val="1A3E5531"/>
    <w:rsid w:val="20C8081E"/>
    <w:rsid w:val="23DCE7AA"/>
    <w:rsid w:val="248A8B4D"/>
    <w:rsid w:val="24DE9125"/>
    <w:rsid w:val="27893D6A"/>
    <w:rsid w:val="28E83BD9"/>
    <w:rsid w:val="296CE6D1"/>
    <w:rsid w:val="2A9FA69B"/>
    <w:rsid w:val="2D107857"/>
    <w:rsid w:val="2F66C65E"/>
    <w:rsid w:val="2FC95ED9"/>
    <w:rsid w:val="309A5CB9"/>
    <w:rsid w:val="30A1EBC1"/>
    <w:rsid w:val="3374F9F0"/>
    <w:rsid w:val="348FD7BE"/>
    <w:rsid w:val="3510750C"/>
    <w:rsid w:val="3A3B6754"/>
    <w:rsid w:val="3B0FE744"/>
    <w:rsid w:val="3E4FC951"/>
    <w:rsid w:val="405FA654"/>
    <w:rsid w:val="42E1C0B6"/>
    <w:rsid w:val="44E1FE26"/>
    <w:rsid w:val="44F96638"/>
    <w:rsid w:val="4564AC59"/>
    <w:rsid w:val="46CC8055"/>
    <w:rsid w:val="47F9CE20"/>
    <w:rsid w:val="49236669"/>
    <w:rsid w:val="49D705C7"/>
    <w:rsid w:val="4D4AE62E"/>
    <w:rsid w:val="4DB3EAD4"/>
    <w:rsid w:val="536A5E08"/>
    <w:rsid w:val="53F74DC0"/>
    <w:rsid w:val="5A95CD26"/>
    <w:rsid w:val="5B17989B"/>
    <w:rsid w:val="5F5D43FB"/>
    <w:rsid w:val="60B89C33"/>
    <w:rsid w:val="65C5C1CB"/>
    <w:rsid w:val="68F5254C"/>
    <w:rsid w:val="69A91BB4"/>
    <w:rsid w:val="6AF10A83"/>
    <w:rsid w:val="6DECEF00"/>
    <w:rsid w:val="72390DF3"/>
    <w:rsid w:val="7F56E6C2"/>
    <w:rsid w:val="7FE2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7EB0C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73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357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A3573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0C4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3408</Characters>
  <Application>Microsoft Office Word</Application>
  <DocSecurity>0</DocSecurity>
  <Lines>28</Lines>
  <Paragraphs>8</Paragraphs>
  <ScaleCrop>false</ScaleCrop>
  <Company>Hewlett-Packard Company</Company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dgdentalguevara@gmail.com</cp:lastModifiedBy>
  <cp:revision>34</cp:revision>
  <dcterms:created xsi:type="dcterms:W3CDTF">2023-10-03T19:39:00Z</dcterms:created>
  <dcterms:modified xsi:type="dcterms:W3CDTF">2026-01-14T18:24:00Z</dcterms:modified>
</cp:coreProperties>
</file>