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09E4" w:rsidR="006109E4" w:rsidP="006109E4" w:rsidRDefault="006109E4" w14:paraId="29BF6FA8" w14:textId="65544898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3B0AD1">
        <w:rPr>
          <w:rFonts w:ascii="Arial" w:hAnsi="Arial" w:cs="Arial"/>
          <w:b/>
          <w:sz w:val="16"/>
          <w:szCs w:val="16"/>
        </w:rPr>
        <w:t>5</w:t>
      </w:r>
    </w:p>
    <w:p w:rsidRPr="006109E4" w:rsidR="006109E4" w:rsidP="006109E4" w:rsidRDefault="006109E4" w14:paraId="672A6659" w14:textId="77777777">
      <w:pPr>
        <w:rPr>
          <w:rFonts w:ascii="Arial" w:hAnsi="Arial" w:cs="Arial"/>
          <w:sz w:val="16"/>
          <w:szCs w:val="16"/>
        </w:rPr>
      </w:pPr>
    </w:p>
    <w:p w:rsidRPr="006109E4" w:rsidR="0036448A" w:rsidP="04076161" w:rsidRDefault="5ED68F4E" w14:paraId="1C365F66" w14:textId="75CF0A8D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5ED68F4E">
        <w:rPr>
          <w:rFonts w:ascii="Arial" w:hAnsi="Arial" w:cs="Arial"/>
          <w:b/>
          <w:bCs/>
          <w:sz w:val="16"/>
          <w:szCs w:val="16"/>
        </w:rPr>
        <w:t>FECHA</w:t>
      </w:r>
      <w:r w:rsidRPr="5ED68F4E">
        <w:rPr>
          <w:rFonts w:ascii="Arial" w:hAnsi="Arial" w:cs="Arial"/>
          <w:b/>
          <w:bCs/>
          <w:sz w:val="16"/>
          <w:szCs w:val="16"/>
          <w:u w:val="single"/>
        </w:rPr>
        <w:t>10/0</w:t>
      </w:r>
      <w:r w:rsidR="003B0AD1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5ED68F4E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3B0AD1"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523"/>
        <w:gridCol w:w="414"/>
        <w:gridCol w:w="200"/>
        <w:gridCol w:w="861"/>
        <w:gridCol w:w="1614"/>
        <w:gridCol w:w="78"/>
        <w:gridCol w:w="1482"/>
        <w:gridCol w:w="359"/>
        <w:gridCol w:w="1614"/>
        <w:gridCol w:w="363"/>
        <w:gridCol w:w="1699"/>
        <w:gridCol w:w="6559"/>
      </w:tblGrid>
      <w:tr w:rsidRPr="006109E4" w:rsidR="007E735E" w:rsidTr="4A94BD81" w14:paraId="3847181B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109E4" w:rsidR="007E735E" w:rsidP="007E735E" w:rsidRDefault="007E735E" w14:paraId="0A37501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6109E4" w:rsidR="007E735E" w:rsidP="04076161" w:rsidRDefault="04076161" w14:paraId="33EDA3DE" w14:textId="6338E5D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3B0AD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3B0AD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Pr="006109E4" w:rsidR="007E735E" w:rsidTr="4A94BD81" w14:paraId="474CB100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109E4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6109E4" w:rsidR="007E735E" w:rsidTr="4A94BD81" w14:paraId="1C3FACA1" w14:textId="77777777">
        <w:trPr>
          <w:gridAfter w:val="1"/>
          <w:wAfter w:w="1934" w:type="pct"/>
          <w:trHeight w:val="315"/>
        </w:trPr>
        <w:tc>
          <w:tcPr>
            <w:tcW w:w="1439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7E735E" w:rsidP="00167A94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6109E4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6109E4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6109E4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627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7E735E" w:rsidP="007E735E" w:rsidRDefault="00065569" w14:paraId="306F225D" w14:textId="33D7575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2. Políticas Pública de Salud (Promoción)</w:t>
            </w:r>
          </w:p>
        </w:tc>
      </w:tr>
      <w:tr w:rsidRPr="006109E4" w:rsidR="007E735E" w:rsidTr="4A94BD81" w14:paraId="11AA1662" w14:textId="77777777">
        <w:trPr>
          <w:gridAfter w:val="1"/>
          <w:wAfter w:w="1934" w:type="pct"/>
          <w:trHeight w:val="315"/>
        </w:trPr>
        <w:tc>
          <w:tcPr>
            <w:tcW w:w="143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7E735E" w:rsidP="007E735E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6109E4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6109E4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62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6109E4" w:rsidR="0036448A" w:rsidTr="4A94BD81" w14:paraId="0F68D40A" w14:textId="77777777">
        <w:trPr>
          <w:gridAfter w:val="1"/>
          <w:wAfter w:w="1934" w:type="pct"/>
          <w:trHeight w:val="315"/>
        </w:trPr>
        <w:tc>
          <w:tcPr>
            <w:tcW w:w="143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62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6109E4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6109E4" w:rsidR="0036448A" w:rsidTr="4A94BD81" w14:paraId="24BAEA0F" w14:textId="77777777">
        <w:trPr>
          <w:gridAfter w:val="1"/>
          <w:wAfter w:w="1934" w:type="pct"/>
          <w:trHeight w:val="315"/>
        </w:trPr>
        <w:tc>
          <w:tcPr>
            <w:tcW w:w="143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627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6109E4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6109E4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6109E4" w:rsidR="0085269D" w:rsidTr="4A94BD81" w14:paraId="5DAB6C7B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6109E4" w:rsidR="0085269D" w:rsidP="007E735E" w:rsidRDefault="0085269D" w14:paraId="02EB378F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7E735E" w:rsidTr="4A94BD81" w14:paraId="33665159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109E4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6109E4" w:rsidR="00167A94" w:rsidTr="4A94BD81" w14:paraId="50A8F74D" w14:textId="77777777">
        <w:trPr>
          <w:trHeight w:val="217"/>
        </w:trPr>
        <w:tc>
          <w:tcPr>
            <w:tcW w:w="686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167A94" w:rsidP="007E735E" w:rsidRDefault="00167A94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25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167A94" w:rsidP="00167A94" w:rsidRDefault="00232BA0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212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B38C4" w:rsidR="00167A94" w:rsidP="005B38C4" w:rsidRDefault="005B38C4" w14:paraId="28A7CF3D" w14:textId="77777777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34" w:type="pct"/>
            <w:vMerge w:val="restart"/>
            <w:tcMar/>
            <w:vAlign w:val="center"/>
          </w:tcPr>
          <w:p w:rsidRPr="006109E4" w:rsidR="00167A94" w:rsidP="00024725" w:rsidRDefault="00167A94" w14:paraId="6A05A80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A94BD81" w14:paraId="493A918B" w14:textId="77777777">
        <w:trPr>
          <w:trHeight w:val="217"/>
        </w:trPr>
        <w:tc>
          <w:tcPr>
            <w:tcW w:w="686" w:type="pct"/>
            <w:gridSpan w:val="4"/>
            <w:vMerge/>
            <w:tcMar/>
            <w:vAlign w:val="center"/>
            <w:hideMark/>
          </w:tcPr>
          <w:p w:rsidRPr="006109E4" w:rsidR="00815120" w:rsidP="00815120" w:rsidRDefault="00815120" w14:paraId="5A39BBE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5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212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2E38E8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34" w:type="pct"/>
            <w:vMerge/>
            <w:tcMar/>
            <w:vAlign w:val="center"/>
          </w:tcPr>
          <w:p w:rsidRPr="006109E4" w:rsidR="00815120" w:rsidP="00815120" w:rsidRDefault="00815120" w14:paraId="41C8F3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A94BD81" w14:paraId="01F55340" w14:textId="77777777">
        <w:trPr>
          <w:trHeight w:val="217"/>
        </w:trPr>
        <w:tc>
          <w:tcPr>
            <w:tcW w:w="686" w:type="pct"/>
            <w:gridSpan w:val="4"/>
            <w:vMerge/>
            <w:tcMar/>
            <w:vAlign w:val="center"/>
            <w:hideMark/>
          </w:tcPr>
          <w:p w:rsidRPr="006109E4" w:rsidR="00815120" w:rsidP="00815120" w:rsidRDefault="00815120" w14:paraId="72A3D3E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5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212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72A3B325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34" w:type="pct"/>
            <w:vMerge/>
            <w:tcMar/>
            <w:vAlign w:val="center"/>
          </w:tcPr>
          <w:p w:rsidRPr="006109E4" w:rsidR="00815120" w:rsidP="00815120" w:rsidRDefault="00815120" w14:paraId="0D0B940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A94BD81" w14:paraId="3D88004B" w14:textId="77777777">
        <w:trPr>
          <w:gridAfter w:val="1"/>
          <w:wAfter w:w="1934" w:type="pct"/>
          <w:trHeight w:val="217"/>
        </w:trPr>
        <w:tc>
          <w:tcPr>
            <w:tcW w:w="686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25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212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08EFB49A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6109E4" w:rsidR="00815120" w:rsidTr="4A94BD81" w14:paraId="5F4EE545" w14:textId="77777777">
        <w:trPr>
          <w:gridAfter w:val="1"/>
          <w:wAfter w:w="1934" w:type="pct"/>
          <w:trHeight w:val="325"/>
        </w:trPr>
        <w:tc>
          <w:tcPr>
            <w:tcW w:w="686" w:type="pct"/>
            <w:gridSpan w:val="4"/>
            <w:vMerge/>
            <w:tcMar/>
            <w:vAlign w:val="center"/>
            <w:hideMark/>
          </w:tcPr>
          <w:p w:rsidRPr="006109E4" w:rsidR="00815120" w:rsidP="00815120" w:rsidRDefault="00815120" w14:paraId="0E27B0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212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7592549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109E4" w:rsidR="0046233C" w:rsidTr="4A94BD81" w14:paraId="100E6DC1" w14:textId="77777777">
        <w:trPr>
          <w:gridAfter w:val="1"/>
          <w:wAfter w:w="1934" w:type="pct"/>
          <w:trHeight w:val="525"/>
        </w:trPr>
        <w:tc>
          <w:tcPr>
            <w:tcW w:w="3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Pr="006109E4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Pr="006109E4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715" w:type="pct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109E4" w:rsidR="0046233C" w:rsidP="0097049A" w:rsidRDefault="00065569" w14:paraId="6281FC73" w14:textId="0E5D3AB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2.1.- </w:t>
            </w:r>
            <w:r w:rsidRPr="003F7FD5" w:rsidR="003F7FD5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Contribuir al 100% el formato de estilos de vida saludables mediante la promoción de la actividad física y hábitos de alimentación correcta en la población sinaloense.</w:t>
            </w:r>
          </w:p>
        </w:tc>
      </w:tr>
      <w:tr w:rsidRPr="006109E4" w:rsidR="0046233C" w:rsidTr="4A94BD81" w14:paraId="7B89CE64" w14:textId="77777777">
        <w:trPr>
          <w:gridAfter w:val="1"/>
          <w:wAfter w:w="1934" w:type="pct"/>
          <w:trHeight w:val="525"/>
        </w:trPr>
        <w:tc>
          <w:tcPr>
            <w:tcW w:w="3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715" w:type="pct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109E4" w:rsidR="0046233C" w:rsidP="007E735E" w:rsidRDefault="00065569" w14:paraId="0D7172A1" w14:textId="3C78D49D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C922DF"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empoderando a las comunidades y mejorando la salud de la población a lo largo del curso de vida.</w:t>
            </w:r>
          </w:p>
        </w:tc>
      </w:tr>
      <w:tr w:rsidRPr="006109E4" w:rsidR="004D2D25" w:rsidTr="4A94BD81" w14:paraId="6A9DEBB8" w14:textId="77777777">
        <w:trPr>
          <w:gridAfter w:val="1"/>
          <w:wAfter w:w="1934" w:type="pct"/>
          <w:trHeight w:val="480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1371" w:type="pct"/>
            <w:gridSpan w:val="6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109E4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582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109E4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08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109E4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6109E4" w:rsidR="004D2D25" w:rsidTr="4A94BD81" w14:paraId="3FF709B6" w14:textId="77777777">
        <w:trPr>
          <w:gridAfter w:val="1"/>
          <w:wAfter w:w="1934" w:type="pct"/>
          <w:trHeight w:val="480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109E4" w:rsidR="006C2A25" w:rsidP="004D2D25" w:rsidRDefault="005F5DC1" w14:paraId="768F5BBA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1,420,360</w:t>
            </w:r>
          </w:p>
        </w:tc>
        <w:tc>
          <w:tcPr>
            <w:tcW w:w="1371" w:type="pct"/>
            <w:gridSpan w:val="6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C922DF" w:rsidR="00065569" w:rsidP="00065569" w:rsidRDefault="00065569" w14:paraId="2C3141C0" w14:textId="77777777">
            <w:pPr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C922DF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Numerador:</w:t>
            </w: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número de población que recibió acciones de promoción de la salud a través de eventos educativos, intervención de entornos laborales y unidades móviles de promoción de la salud.</w:t>
            </w:r>
          </w:p>
          <w:p w:rsidRPr="006109E4" w:rsidR="006C2A25" w:rsidP="00065569" w:rsidRDefault="00065569" w14:paraId="28BEB2B0" w14:textId="78B43AB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Denominador:</w:t>
            </w: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total de población objetivo-programada </w:t>
            </w:r>
            <w:r w:rsidRPr="00C922DF">
              <w:rPr>
                <w:rFonts w:ascii="Arial" w:hAnsi="Arial" w:cs="Arial"/>
                <w:color w:val="202124"/>
                <w:sz w:val="15"/>
                <w:szCs w:val="15"/>
                <w:shd w:val="clear" w:color="auto" w:fill="FFFFFF"/>
              </w:rPr>
              <w:t>* 100</w:t>
            </w:r>
          </w:p>
        </w:tc>
        <w:tc>
          <w:tcPr>
            <w:tcW w:w="582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6C2A25" w:rsidP="00C62AB1" w:rsidRDefault="00065569" w14:paraId="3F27C703" w14:textId="09D116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08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6C2A25" w:rsidP="00C62AB1" w:rsidRDefault="00065569" w14:paraId="074FBFE9" w14:textId="1846FA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6109E4" w:rsidR="006C2A25" w:rsidTr="4A94BD81" w14:paraId="60061E4C" w14:textId="77777777">
        <w:trPr>
          <w:gridAfter w:val="1"/>
          <w:wAfter w:w="1934" w:type="pct"/>
          <w:trHeight w:val="50"/>
        </w:trPr>
        <w:tc>
          <w:tcPr>
            <w:tcW w:w="3066" w:type="pct"/>
            <w:gridSpan w:val="12"/>
            <w:tcBorders>
              <w:top w:val="single" w:color="auto" w:sz="4" w:space="0"/>
            </w:tcBorders>
            <w:tcMar/>
            <w:vAlign w:val="center"/>
            <w:hideMark/>
          </w:tcPr>
          <w:p w:rsidRPr="006109E4" w:rsidR="006C2A25" w:rsidP="007E735E" w:rsidRDefault="006C2A25" w14:paraId="44EAFD9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6C2A25" w:rsidTr="4A94BD81" w14:paraId="4B94D5A5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shd w:val="clear" w:color="auto" w:fill="FFFFFF" w:themeFill="background1"/>
            <w:tcMar/>
            <w:vAlign w:val="bottom"/>
            <w:hideMark/>
          </w:tcPr>
          <w:p w:rsidRPr="006109E4" w:rsidR="006C2A25" w:rsidP="00EB6491" w:rsidRDefault="006C2A25" w14:paraId="3DEEC66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6C2A25" w:rsidTr="4A94BD81" w14:paraId="7C7077C8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6109E4" w:rsidR="006C2A25" w:rsidP="00EB6491" w:rsidRDefault="006C2A25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6109E4" w:rsidR="006C2A25" w:rsidTr="4A94BD81" w14:paraId="1A4ED9B0" w14:textId="77777777">
        <w:trPr>
          <w:gridAfter w:val="1"/>
          <w:wAfter w:w="1934" w:type="pct"/>
          <w:trHeight w:val="315"/>
        </w:trPr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6C2A25" w:rsidP="007E735E" w:rsidRDefault="006C2A25" w14:paraId="2B5CC34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439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3656B9AB" w14:textId="498B66C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6109E4" w:rsidR="006C2A25" w:rsidTr="4A94BD81" w14:paraId="6B07EAA7" w14:textId="77777777">
        <w:trPr>
          <w:gridAfter w:val="1"/>
          <w:wAfter w:w="1934" w:type="pct"/>
          <w:trHeight w:val="315"/>
        </w:trPr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6C2A25" w:rsidP="007E735E" w:rsidRDefault="00065569" w14:paraId="45FB0818" w14:textId="50CE63C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3974AF">
              <w:rPr>
                <w:rFonts w:ascii="Arial" w:hAnsi="Arial" w:cs="Arial"/>
                <w:sz w:val="18"/>
                <w:szCs w:val="18"/>
                <w:lang w:val="es-ES"/>
              </w:rPr>
              <w:t>100% (202,440)</w:t>
            </w:r>
          </w:p>
        </w:tc>
        <w:tc>
          <w:tcPr>
            <w:tcW w:w="78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58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6109E4" w:rsidR="00065569" w:rsidTr="4A94BD81" w14:paraId="48E01013" w14:textId="77777777">
        <w:trPr>
          <w:gridAfter w:val="1"/>
          <w:wAfter w:w="1934" w:type="pct"/>
          <w:trHeight w:val="315"/>
        </w:trPr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065569" w:rsidP="00065569" w:rsidRDefault="00065569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78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109E4" w:rsidR="00065569" w:rsidP="00065569" w:rsidRDefault="00065569" w14:paraId="049F31CB" w14:textId="1E1A45D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A94BD81" w:rsidR="4A94BD81">
              <w:rPr>
                <w:rFonts w:ascii="Arial" w:hAnsi="Arial" w:cs="Arial"/>
                <w:sz w:val="16"/>
                <w:szCs w:val="16"/>
                <w:lang w:val="es-ES"/>
              </w:rPr>
              <w:t>65,931 (33%)</w:t>
            </w:r>
          </w:p>
        </w:tc>
        <w:tc>
          <w:tcPr>
            <w:tcW w:w="566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109E4" w:rsidR="00065569" w:rsidP="00065569" w:rsidRDefault="00065569" w14:paraId="53128261" w14:textId="53B0E88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83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109E4" w:rsidR="00065569" w:rsidP="00065569" w:rsidRDefault="00065569" w14:paraId="62486C05" w14:textId="44D47DF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109E4" w:rsidR="00065569" w:rsidP="5ED68F4E" w:rsidRDefault="00065569" w14:paraId="4101652C" w14:textId="26F17C8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065569" w:rsidTr="4A94BD81" w14:paraId="4B99056E" w14:textId="77777777">
        <w:trPr>
          <w:gridAfter w:val="1"/>
          <w:wAfter w:w="1934" w:type="pct"/>
          <w:trHeight w:val="315"/>
        </w:trPr>
        <w:tc>
          <w:tcPr>
            <w:tcW w:w="62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6109E4" w:rsidR="00065569" w:rsidP="00065569" w:rsidRDefault="00065569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89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065569" w:rsidP="00065569" w:rsidRDefault="00065569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6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065569" w:rsidP="00065569" w:rsidRDefault="00065569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83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065569" w:rsidP="00065569" w:rsidRDefault="00065569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1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065569" w:rsidP="00065569" w:rsidRDefault="00065569" w14:paraId="0FB782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065569" w:rsidTr="4A94BD81" w14:paraId="7F1E37C5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109E4" w:rsidR="00065569" w:rsidP="00065569" w:rsidRDefault="0006556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6109E4" w:rsidR="00065569" w:rsidTr="4A94BD81" w14:paraId="185C6C9C" w14:textId="77777777">
        <w:trPr>
          <w:gridAfter w:val="1"/>
          <w:wAfter w:w="1934" w:type="pct"/>
          <w:trHeight w:val="315"/>
        </w:trPr>
        <w:tc>
          <w:tcPr>
            <w:tcW w:w="306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065569" w:rsidP="00065569" w:rsidRDefault="00065569" w14:paraId="45DE1544" w14:textId="359376F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</w:p>
        </w:tc>
      </w:tr>
      <w:tr w:rsidRPr="006109E4" w:rsidR="00065569" w:rsidTr="4A94BD81" w14:paraId="5E1D6CFA" w14:textId="77777777">
        <w:trPr>
          <w:gridAfter w:val="1"/>
          <w:wAfter w:w="1934" w:type="pct"/>
          <w:trHeight w:val="650"/>
        </w:trPr>
        <w:tc>
          <w:tcPr>
            <w:tcW w:w="306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109E4" w:rsidR="00065569" w:rsidP="00065569" w:rsidRDefault="00065569" w14:paraId="1142543A" w14:textId="3B5B8B0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Observaciones (Justificaciones): </w:t>
            </w:r>
            <w:r w:rsidRPr="5E3974AF">
              <w:rPr>
                <w:rFonts w:ascii="Arial" w:hAnsi="Arial" w:eastAsia="Arial" w:cs="Arial"/>
                <w:sz w:val="15"/>
                <w:szCs w:val="15"/>
                <w:lang w:val="es"/>
              </w:rPr>
              <w:t>El reporte se realiza de manera trimestral en cantidad y porcentaje, la fórmula es referente a la establecida por los criterios de operación federales para el indicador. (Población Estatal que recibió servicios de promoción de la salud para mejoría en sus estilos de vida y entornos clave de desarrollo).</w:t>
            </w:r>
          </w:p>
        </w:tc>
      </w:tr>
    </w:tbl>
    <w:p w:rsidRPr="006109E4" w:rsidR="00F56C03" w:rsidP="00F56C03" w:rsidRDefault="00F56C03" w14:paraId="1FC39945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:rsidR="0036448A" w:rsidP="0036448A" w:rsidRDefault="0036448A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="00056E3F" w:rsidP="0036448A" w:rsidRDefault="00056E3F" w14:paraId="069C0642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6109E4" w:rsidR="00056E3F" w:rsidP="0036448A" w:rsidRDefault="00056E3F" w14:paraId="298BCF37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6109E4" w:rsidR="0036448A" w:rsidP="0036448A" w:rsidRDefault="0036448A" w14:paraId="0562CB0E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C922DF" w:rsidR="00056E3F" w:rsidP="00056E3F" w:rsidRDefault="00056E3F" w14:paraId="69A5996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922DF">
        <w:rPr>
          <w:rFonts w:ascii="Arial" w:hAnsi="Arial" w:cs="Arial"/>
          <w:b/>
          <w:sz w:val="16"/>
          <w:szCs w:val="16"/>
          <w:lang w:val="es-ES"/>
        </w:rPr>
        <w:t>DR. MANUEL ALEJANDRO MACIAS MANCILLAS</w:t>
      </w:r>
    </w:p>
    <w:p w:rsidRPr="00056E3F" w:rsidR="0036448A" w:rsidP="00056E3F" w:rsidRDefault="00056E3F" w14:paraId="34CE0A41" w14:textId="5A3FB991">
      <w:pPr>
        <w:jc w:val="center"/>
        <w:rPr>
          <w:rFonts w:ascii="Arial" w:hAnsi="Arial" w:cs="Arial"/>
          <w:b/>
          <w:lang w:val="es-ES"/>
        </w:rPr>
      </w:pPr>
      <w:r w:rsidRPr="00C922DF">
        <w:rPr>
          <w:rFonts w:ascii="Arial" w:hAnsi="Arial" w:cs="Arial"/>
          <w:b/>
          <w:sz w:val="16"/>
          <w:szCs w:val="16"/>
          <w:lang w:val="es-ES"/>
        </w:rPr>
        <w:t>JEFE DEL DPTO. NUEVA CULTURA DE SALUD</w:t>
      </w:r>
    </w:p>
    <w:p w:rsidR="0036448A" w:rsidP="0036448A" w:rsidRDefault="0036448A" w14:paraId="62EBF3C5" w14:textId="77777777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32B" w:rsidP="00C01465" w:rsidRDefault="00BB332B" w14:paraId="78154A6E" w14:textId="77777777">
      <w:r>
        <w:separator/>
      </w:r>
    </w:p>
  </w:endnote>
  <w:endnote w:type="continuationSeparator" w:id="0">
    <w:p w:rsidR="00BB332B" w:rsidP="00C01465" w:rsidRDefault="00BB332B" w14:paraId="07E40C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32B" w:rsidP="00C01465" w:rsidRDefault="00BB332B" w14:paraId="3483C2C9" w14:textId="77777777">
      <w:r>
        <w:separator/>
      </w:r>
    </w:p>
  </w:footnote>
  <w:footnote w:type="continuationSeparator" w:id="0">
    <w:p w:rsidR="00BB332B" w:rsidP="00C01465" w:rsidRDefault="00BB332B" w14:paraId="16C37C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815120" w14:paraId="785174E1" w14:textId="7777777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6E3F"/>
    <w:rsid w:val="0005745D"/>
    <w:rsid w:val="00065569"/>
    <w:rsid w:val="00077981"/>
    <w:rsid w:val="00087C57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B0AD1"/>
    <w:rsid w:val="003E739B"/>
    <w:rsid w:val="003F7FD5"/>
    <w:rsid w:val="00430085"/>
    <w:rsid w:val="0046233C"/>
    <w:rsid w:val="00462BF2"/>
    <w:rsid w:val="00480F03"/>
    <w:rsid w:val="00484F27"/>
    <w:rsid w:val="004A0264"/>
    <w:rsid w:val="004B32BB"/>
    <w:rsid w:val="004C5DC6"/>
    <w:rsid w:val="004D2D25"/>
    <w:rsid w:val="004D5AC2"/>
    <w:rsid w:val="004F16A6"/>
    <w:rsid w:val="0053273D"/>
    <w:rsid w:val="00534E05"/>
    <w:rsid w:val="005841B4"/>
    <w:rsid w:val="005B38C4"/>
    <w:rsid w:val="005F5DC1"/>
    <w:rsid w:val="006109E4"/>
    <w:rsid w:val="006368AA"/>
    <w:rsid w:val="006513AA"/>
    <w:rsid w:val="0066350E"/>
    <w:rsid w:val="00670252"/>
    <w:rsid w:val="006C2A25"/>
    <w:rsid w:val="006F3129"/>
    <w:rsid w:val="00750CC3"/>
    <w:rsid w:val="00771EBC"/>
    <w:rsid w:val="007E3418"/>
    <w:rsid w:val="007E735E"/>
    <w:rsid w:val="00815120"/>
    <w:rsid w:val="008232D1"/>
    <w:rsid w:val="0085269D"/>
    <w:rsid w:val="00854FCC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B332B"/>
    <w:rsid w:val="00BD019B"/>
    <w:rsid w:val="00BE3892"/>
    <w:rsid w:val="00C01465"/>
    <w:rsid w:val="00C27E4F"/>
    <w:rsid w:val="00C53C4E"/>
    <w:rsid w:val="00C62AB1"/>
    <w:rsid w:val="00CB5335"/>
    <w:rsid w:val="00CC2DD1"/>
    <w:rsid w:val="00CF373C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2122D"/>
    <w:rsid w:val="00F31223"/>
    <w:rsid w:val="00F56C03"/>
    <w:rsid w:val="00F67217"/>
    <w:rsid w:val="00F728C2"/>
    <w:rsid w:val="00FD0BC1"/>
    <w:rsid w:val="00FE234B"/>
    <w:rsid w:val="04076161"/>
    <w:rsid w:val="19D56E41"/>
    <w:rsid w:val="339C0A34"/>
    <w:rsid w:val="4A94BD81"/>
    <w:rsid w:val="5508470C"/>
    <w:rsid w:val="5ED68F4E"/>
    <w:rsid w:val="629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Dr. Pablo Guevara</lastModifiedBy>
  <revision>23</revision>
  <lastPrinted>2021-12-02T18:18:00.0000000Z</lastPrinted>
  <dcterms:created xsi:type="dcterms:W3CDTF">2023-10-11T19:34:00.0000000Z</dcterms:created>
  <dcterms:modified xsi:type="dcterms:W3CDTF">2025-04-11T21:06:25.9433375Z</dcterms:modified>
</coreProperties>
</file>