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278CAE6C" w:rsidR="00EF012D" w:rsidRPr="00DD48A6" w:rsidRDefault="73A7A151" w:rsidP="73A7A15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73A7A151">
        <w:rPr>
          <w:rFonts w:ascii="Arial" w:hAnsi="Arial" w:cs="Arial"/>
          <w:b/>
          <w:bCs/>
          <w:sz w:val="16"/>
          <w:szCs w:val="16"/>
        </w:rPr>
        <w:t>FICHA DE REPORTE DE AVANCE TRIMESTRAL METAS FASSA 202</w:t>
      </w:r>
      <w:r w:rsidR="00A81248">
        <w:rPr>
          <w:rFonts w:ascii="Arial" w:hAnsi="Arial" w:cs="Arial"/>
          <w:b/>
          <w:bCs/>
          <w:sz w:val="16"/>
          <w:szCs w:val="16"/>
        </w:rPr>
        <w:t>6</w:t>
      </w:r>
    </w:p>
    <w:p w14:paraId="790BC161" w14:textId="7B59018F" w:rsidR="00222E0E" w:rsidRPr="00DD48A6" w:rsidRDefault="73A7A151" w:rsidP="00EF012D">
      <w:pPr>
        <w:tabs>
          <w:tab w:val="left" w:pos="463"/>
        </w:tabs>
        <w:jc w:val="right"/>
        <w:rPr>
          <w:rFonts w:ascii="Arial" w:hAnsi="Arial" w:cs="Arial"/>
          <w:sz w:val="16"/>
          <w:szCs w:val="16"/>
          <w:lang w:val="es-ES"/>
        </w:rPr>
      </w:pPr>
      <w:r w:rsidRPr="6FCC288A">
        <w:rPr>
          <w:rFonts w:ascii="Arial" w:hAnsi="Arial" w:cs="Arial"/>
          <w:b/>
          <w:bCs/>
          <w:sz w:val="16"/>
          <w:szCs w:val="16"/>
        </w:rPr>
        <w:t>FECHA: 1</w:t>
      </w:r>
      <w:r w:rsidR="13B5B4C1" w:rsidRPr="6FCC288A">
        <w:rPr>
          <w:rFonts w:ascii="Arial" w:hAnsi="Arial" w:cs="Arial"/>
          <w:b/>
          <w:bCs/>
          <w:sz w:val="16"/>
          <w:szCs w:val="16"/>
        </w:rPr>
        <w:t>0</w:t>
      </w:r>
      <w:r w:rsidRPr="6FCC288A">
        <w:rPr>
          <w:rFonts w:ascii="Arial" w:hAnsi="Arial" w:cs="Arial"/>
          <w:b/>
          <w:bCs/>
          <w:sz w:val="16"/>
          <w:szCs w:val="16"/>
        </w:rPr>
        <w:t>/</w:t>
      </w:r>
      <w:r w:rsidR="1E865AA8" w:rsidRPr="6FCC288A">
        <w:rPr>
          <w:rFonts w:ascii="Arial" w:hAnsi="Arial" w:cs="Arial"/>
          <w:b/>
          <w:bCs/>
          <w:sz w:val="16"/>
          <w:szCs w:val="16"/>
        </w:rPr>
        <w:t>0</w:t>
      </w:r>
      <w:r w:rsidR="00A81248">
        <w:rPr>
          <w:rFonts w:ascii="Arial" w:hAnsi="Arial" w:cs="Arial"/>
          <w:b/>
          <w:bCs/>
          <w:sz w:val="16"/>
          <w:szCs w:val="16"/>
        </w:rPr>
        <w:t>4</w:t>
      </w:r>
      <w:r w:rsidRPr="6FCC288A">
        <w:rPr>
          <w:rFonts w:ascii="Arial" w:hAnsi="Arial" w:cs="Arial"/>
          <w:b/>
          <w:bCs/>
          <w:sz w:val="16"/>
          <w:szCs w:val="16"/>
        </w:rPr>
        <w:t>/202</w:t>
      </w:r>
      <w:r w:rsidR="31F07BB7" w:rsidRPr="6FCC288A">
        <w:rPr>
          <w:rFonts w:ascii="Arial" w:hAnsi="Arial" w:cs="Arial"/>
          <w:b/>
          <w:bCs/>
          <w:sz w:val="16"/>
          <w:szCs w:val="16"/>
        </w:rPr>
        <w:t>6</w:t>
      </w:r>
    </w:p>
    <w:tbl>
      <w:tblPr>
        <w:tblStyle w:val="Tablanormal5"/>
        <w:tblW w:w="8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056"/>
        <w:gridCol w:w="261"/>
        <w:gridCol w:w="1141"/>
        <w:gridCol w:w="692"/>
        <w:gridCol w:w="139"/>
        <w:gridCol w:w="1545"/>
        <w:gridCol w:w="414"/>
        <w:gridCol w:w="1677"/>
        <w:gridCol w:w="418"/>
        <w:gridCol w:w="1758"/>
        <w:gridCol w:w="6623"/>
      </w:tblGrid>
      <w:tr w:rsidR="00222E0E" w:rsidRPr="00DD48A6" w14:paraId="7E8EA901" w14:textId="77777777" w:rsidTr="0DA2C1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9" w:type="pct"/>
            <w:gridSpan w:val="11"/>
            <w:tcBorders>
              <w:bottom w:val="none" w:sz="0" w:space="0" w:color="auto"/>
              <w:right w:val="none" w:sz="0" w:space="0" w:color="auto"/>
            </w:tcBorders>
            <w:shd w:val="clear" w:color="auto" w:fill="800000"/>
          </w:tcPr>
          <w:p w14:paraId="672A6659" w14:textId="77777777" w:rsidR="00222E0E" w:rsidRPr="001F0071" w:rsidRDefault="00222E0E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</w:p>
          <w:p w14:paraId="768FED65" w14:textId="2F07A244" w:rsidR="00222E0E" w:rsidRPr="001F0071" w:rsidRDefault="73A7A151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FICHA REPORTE DE INDICADORES FASSA – </w:t>
            </w:r>
            <w:r w:rsidR="00A81248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PRIMER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 TRIMESTRE 202</w:t>
            </w:r>
            <w:r w:rsidR="00A81248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6</w:t>
            </w:r>
          </w:p>
        </w:tc>
      </w:tr>
      <w:tr w:rsidR="00222E0E" w:rsidRPr="00DD48A6" w14:paraId="474CB100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hideMark/>
          </w:tcPr>
          <w:p w14:paraId="4F359509" w14:textId="77777777" w:rsidR="00222E0E" w:rsidRPr="001F0071" w:rsidRDefault="00222E0E" w:rsidP="00930FAD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222E0E" w:rsidRPr="00DD48A6" w14:paraId="0694EB3A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9BB5EA" w14:textId="77777777" w:rsidR="00222E0E" w:rsidRPr="001F0071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2F762EB1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eastAsia="Times New Roman" w:hAnsi="Arial" w:cs="Arial"/>
                <w:sz w:val="16"/>
                <w:szCs w:val="16"/>
              </w:rPr>
              <w:t>13 Salud Materna</w:t>
            </w:r>
          </w:p>
        </w:tc>
      </w:tr>
      <w:tr w:rsidR="00222E0E" w:rsidRPr="00DD48A6" w14:paraId="11AA1662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9527565" w14:textId="77777777" w:rsidR="00222E0E" w:rsidRPr="001F0071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2AC7ECFE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222E0E" w:rsidRPr="00DD48A6" w14:paraId="0F68D40A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7AFBE14" w14:textId="77777777" w:rsidR="00222E0E" w:rsidRPr="001F0071" w:rsidRDefault="00222E0E" w:rsidP="0045558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6AF48C00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22E0E" w:rsidRPr="00DD48A6" w14:paraId="4EBE68B7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gridSpan w:val="6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573199E" w14:textId="77777777" w:rsidR="00222E0E" w:rsidRPr="001F0071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Pe</w:t>
            </w:r>
            <w:r w:rsidR="00FA7148"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A</w:t>
            </w:r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>rsona</w:t>
            </w:r>
            <w:proofErr w:type="spellEnd"/>
            <w:r w:rsidRPr="001F0071">
              <w:rPr>
                <w:rFonts w:ascii="Arial" w:hAnsi="Arial" w:cs="Arial"/>
                <w:b/>
                <w:i w:val="0"/>
                <w:iCs w:val="0"/>
                <w:sz w:val="16"/>
                <w:szCs w:val="16"/>
                <w:lang w:val="es-ES"/>
              </w:rPr>
              <w:t xml:space="preserve"> responsable (teléfono y correo electrónico):</w:t>
            </w:r>
          </w:p>
        </w:tc>
        <w:tc>
          <w:tcPr>
            <w:tcW w:w="1712" w:type="pct"/>
            <w:gridSpan w:val="5"/>
            <w:vAlign w:val="bottom"/>
            <w:hideMark/>
          </w:tcPr>
          <w:p w14:paraId="386C1750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22E0E" w:rsidRPr="00DD48A6" w14:paraId="0A37501D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hideMark/>
          </w:tcPr>
          <w:p w14:paraId="5DAB6C7B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33665159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hideMark/>
          </w:tcPr>
          <w:p w14:paraId="6881BEA8" w14:textId="77777777" w:rsidR="00222E0E" w:rsidRPr="001F0071" w:rsidRDefault="00222E0E" w:rsidP="001F007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 xml:space="preserve">2. 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shd w:val="clear" w:color="auto" w:fill="800000"/>
                <w:lang w:val="es-ES"/>
              </w:rPr>
              <w:t>DATOS DE IDENTIFICACIÓN DEL INDICADOR</w:t>
            </w:r>
          </w:p>
        </w:tc>
      </w:tr>
      <w:tr w:rsidR="00222E0E" w:rsidRPr="00DD48A6" w14:paraId="2015A55B" w14:textId="77777777" w:rsidTr="0DA2C16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 w:val="restar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4EA9AE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vAlign w:val="center"/>
            <w:hideMark/>
          </w:tcPr>
          <w:p w14:paraId="586F04F9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vAlign w:val="center"/>
          </w:tcPr>
          <w:p w14:paraId="4719E1D4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19E8C057" w14:textId="77777777" w:rsidTr="0DA2C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vAlign w:val="center"/>
            <w:hideMark/>
          </w:tcPr>
          <w:p w14:paraId="6A05A809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52ADDA2" w14:textId="77777777" w:rsidR="00222E0E" w:rsidRPr="001F0071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shd w:val="clear" w:color="auto" w:fill="auto"/>
            <w:vAlign w:val="center"/>
          </w:tcPr>
          <w:p w14:paraId="52EE64B7" w14:textId="77777777" w:rsidR="00222E0E" w:rsidRPr="001F0071" w:rsidRDefault="00222E0E" w:rsidP="0045558D">
            <w:pPr>
              <w:pStyle w:val="NormalWeb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Coordinar las acciones intersectoriales para fortalecer la salud de la mujer, la interrupción </w:t>
            </w:r>
            <w:r w:rsidR="002E7B45"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legal del embarazo, la reducció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222E0E" w:rsidRPr="00DD48A6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E316965" w14:textId="77777777" w:rsidTr="0DA2C16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vAlign w:val="center"/>
            <w:hideMark/>
          </w:tcPr>
          <w:p w14:paraId="41C8F396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vAlign w:val="center"/>
            <w:hideMark/>
          </w:tcPr>
          <w:p w14:paraId="6E83686B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vAlign w:val="center"/>
          </w:tcPr>
          <w:p w14:paraId="6478752E" w14:textId="77777777" w:rsidR="00222E0E" w:rsidRPr="00DD48A6" w:rsidRDefault="00222E0E" w:rsidP="0045558D">
            <w:pPr>
              <w:pStyle w:val="NormalWeb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7E11F54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 w:val="restar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EAC605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16B4BB8" w14:textId="77777777" w:rsidR="00222E0E" w:rsidRPr="001F0071" w:rsidRDefault="00222E0E" w:rsidP="00455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shd w:val="clear" w:color="auto" w:fill="auto"/>
            <w:vAlign w:val="center"/>
          </w:tcPr>
          <w:p w14:paraId="4A39AB9A" w14:textId="77777777" w:rsidR="00222E0E" w:rsidRPr="001F0071" w:rsidRDefault="00222E0E" w:rsidP="0045558D">
            <w:pPr>
              <w:pStyle w:val="NormalWeb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="00222E0E" w:rsidRPr="00DD48A6" w14:paraId="284B1DE4" w14:textId="77777777" w:rsidTr="0DA2C16C">
        <w:trPr>
          <w:gridAfter w:val="1"/>
          <w:wAfter w:w="1951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gridSpan w:val="3"/>
            <w:vMerge/>
            <w:vAlign w:val="center"/>
            <w:hideMark/>
          </w:tcPr>
          <w:p w14:paraId="0D0B940D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  <w:hideMark/>
          </w:tcPr>
          <w:p w14:paraId="3C477CA1" w14:textId="77777777" w:rsidR="00222E0E" w:rsidRPr="001F0071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vAlign w:val="center"/>
          </w:tcPr>
          <w:p w14:paraId="56526E62" w14:textId="77777777" w:rsidR="00222E0E" w:rsidRPr="001F0071" w:rsidRDefault="00222E0E" w:rsidP="0045558D">
            <w:pPr>
              <w:pStyle w:val="NormalWeb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1.1.1 </w:t>
            </w:r>
            <w:r w:rsidRPr="001F0071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</w:tr>
      <w:tr w:rsidR="00222E0E" w:rsidRPr="00DD48A6" w14:paraId="3E0A5568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CB6FE9" w14:textId="77777777" w:rsidR="00222E0E" w:rsidRPr="001F0071" w:rsidRDefault="00222E0E" w:rsidP="00455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Nombre </w:t>
            </w:r>
            <w:proofErr w:type="gramStart"/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dela</w:t>
            </w:r>
            <w:proofErr w:type="gramEnd"/>
            <w:r w:rsidRPr="001F0071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meta y/o Indicador</w:t>
            </w:r>
          </w:p>
        </w:tc>
        <w:tc>
          <w:tcPr>
            <w:tcW w:w="2681" w:type="pct"/>
            <w:gridSpan w:val="10"/>
            <w:shd w:val="clear" w:color="auto" w:fill="auto"/>
            <w:vAlign w:val="center"/>
            <w:hideMark/>
          </w:tcPr>
          <w:p w14:paraId="56CB1886" w14:textId="5F018E22" w:rsidR="00222E0E" w:rsidRPr="001F0071" w:rsidRDefault="41B6648D" w:rsidP="199BCF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13.1.- </w:t>
            </w:r>
            <w:r w:rsidR="545089AA"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Atender como minimo al 38% del total de embarazadas sin derechohabiencia de primera vez en el primer</w:t>
            </w:r>
          </w:p>
          <w:p w14:paraId="3FC99F4C" w14:textId="0AF22CDF" w:rsidR="00222E0E" w:rsidRPr="001F0071" w:rsidRDefault="545089AA" w:rsidP="199BCF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F007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trimestre gestacional en los Servicios de Salud de Sinaloa.</w:t>
            </w:r>
          </w:p>
        </w:tc>
      </w:tr>
      <w:tr w:rsidR="00222E0E" w:rsidRPr="00DD48A6" w14:paraId="34AA540D" w14:textId="77777777" w:rsidTr="0DA2C16C">
        <w:trPr>
          <w:gridAfter w:val="1"/>
          <w:wAfter w:w="1951" w:type="pct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944D7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hideMark/>
          </w:tcPr>
          <w:p w14:paraId="13D9849A" w14:textId="77777777" w:rsidR="00222E0E" w:rsidRPr="00DD48A6" w:rsidRDefault="00222E0E" w:rsidP="00455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_tradnl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Propiciar el acceso universal de mujeres en etapas pregestacional, embarazo, parto, puerperio y neonatal, a servicios de calidad y respetuosos.</w:t>
            </w:r>
          </w:p>
        </w:tc>
      </w:tr>
      <w:tr w:rsidR="00222E0E" w:rsidRPr="00DD48A6" w14:paraId="6A9DEBB8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gridSpan w:val="4"/>
            <w:tcBorders>
              <w:right w:val="none" w:sz="0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BF9D7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shd w:val="clear" w:color="auto" w:fill="D0CECE" w:themeFill="background2" w:themeFillShade="E6"/>
          </w:tcPr>
          <w:p w14:paraId="59F876EE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shd w:val="clear" w:color="auto" w:fill="D0CECE" w:themeFill="background2" w:themeFillShade="E6"/>
          </w:tcPr>
          <w:p w14:paraId="6B58107F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shd w:val="clear" w:color="auto" w:fill="D0CECE" w:themeFill="background2" w:themeFillShade="E6"/>
          </w:tcPr>
          <w:p w14:paraId="38C21665" w14:textId="77777777" w:rsidR="00222E0E" w:rsidRPr="00DD48A6" w:rsidRDefault="00222E0E" w:rsidP="0045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22E0E" w:rsidRPr="00DD48A6" w14:paraId="57C1B3E4" w14:textId="77777777" w:rsidTr="0DA2C16C">
        <w:trPr>
          <w:gridAfter w:val="1"/>
          <w:wAfter w:w="1951" w:type="pct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gridSpan w:val="4"/>
            <w:tcBorders>
              <w:right w:val="none" w:sz="0" w:space="0" w:color="auto"/>
            </w:tcBorders>
            <w:vAlign w:val="center"/>
            <w:hideMark/>
          </w:tcPr>
          <w:p w14:paraId="565B10BA" w14:textId="77777777" w:rsidR="00222E0E" w:rsidRPr="00930FAD" w:rsidRDefault="00222E0E" w:rsidP="0045558D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30FAD"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700" w:type="pct"/>
            <w:gridSpan w:val="3"/>
          </w:tcPr>
          <w:p w14:paraId="4E006C15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It: D1=número de consultas de primera vez en el primer trimestre por 100 en un periodo determinado. D2= total de consultas de primera vez en primero, segundo y tercer trimestre en el mismo periodo.</w:t>
            </w:r>
          </w:p>
        </w:tc>
        <w:tc>
          <w:tcPr>
            <w:tcW w:w="616" w:type="pct"/>
            <w:gridSpan w:val="2"/>
            <w:vAlign w:val="center"/>
          </w:tcPr>
          <w:p w14:paraId="3F27C703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vAlign w:val="center"/>
          </w:tcPr>
          <w:p w14:paraId="074FBFE9" w14:textId="77777777" w:rsidR="00222E0E" w:rsidRPr="00DD48A6" w:rsidRDefault="00222E0E" w:rsidP="00455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222E0E" w:rsidRPr="00DD48A6" w14:paraId="0E27B00A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center"/>
            <w:hideMark/>
          </w:tcPr>
          <w:p w14:paraId="60061E4C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44EAFD9C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4B94D5A5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7C7077C8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shd w:val="clear" w:color="auto" w:fill="800000"/>
            <w:vAlign w:val="bottom"/>
            <w:hideMark/>
          </w:tcPr>
          <w:p w14:paraId="6951EDE8" w14:textId="77777777" w:rsidR="00222E0E" w:rsidRPr="001F0071" w:rsidRDefault="00222E0E" w:rsidP="001F0071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shd w:val="clear" w:color="auto" w:fill="800000"/>
                <w:lang w:val="es-ES"/>
              </w:rPr>
              <w:t>3. CUMPLIMIENTO</w:t>
            </w:r>
            <w:r w:rsidRPr="001F0071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:</w:t>
            </w:r>
          </w:p>
        </w:tc>
      </w:tr>
      <w:tr w:rsidR="00222E0E" w:rsidRPr="00DD48A6" w14:paraId="1A4ED9B0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B5CC34B" w14:textId="112EA510" w:rsidR="00222E0E" w:rsidRPr="00930FAD" w:rsidRDefault="22C9410E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</w:pPr>
            <w:r w:rsidRPr="00930FAD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  <w:t xml:space="preserve">Meta anual:  </w:t>
            </w:r>
          </w:p>
        </w:tc>
        <w:tc>
          <w:tcPr>
            <w:tcW w:w="2370" w:type="pct"/>
            <w:gridSpan w:val="9"/>
            <w:shd w:val="clear" w:color="auto" w:fill="D0CECE" w:themeFill="background2" w:themeFillShade="E6"/>
            <w:hideMark/>
          </w:tcPr>
          <w:p w14:paraId="3DEEC669" w14:textId="77777777" w:rsidR="00222E0E" w:rsidRPr="00DD48A6" w:rsidRDefault="00222E0E" w:rsidP="00930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22E0E" w:rsidRPr="00DD48A6" w14:paraId="6B07EAA7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656B9AB" w14:textId="77777777" w:rsidR="00222E0E" w:rsidRPr="00930FAD" w:rsidRDefault="00222E0E" w:rsidP="00930FAD">
            <w:pPr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shd w:val="clear" w:color="auto" w:fill="D0CECE" w:themeFill="background2" w:themeFillShade="E6"/>
            <w:hideMark/>
          </w:tcPr>
          <w:p w14:paraId="4EE06B12" w14:textId="77777777" w:rsidR="00222E0E" w:rsidRPr="00DD48A6" w:rsidRDefault="00222E0E" w:rsidP="00930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shd w:val="clear" w:color="auto" w:fill="D0CECE" w:themeFill="background2" w:themeFillShade="E6"/>
            <w:hideMark/>
          </w:tcPr>
          <w:p w14:paraId="2D0CFD88" w14:textId="77777777" w:rsidR="00222E0E" w:rsidRPr="00DD48A6" w:rsidRDefault="00222E0E" w:rsidP="00930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shd w:val="clear" w:color="auto" w:fill="D0CECE" w:themeFill="background2" w:themeFillShade="E6"/>
            <w:hideMark/>
          </w:tcPr>
          <w:p w14:paraId="147FC3D2" w14:textId="77777777" w:rsidR="00222E0E" w:rsidRPr="00DD48A6" w:rsidRDefault="00222E0E" w:rsidP="00930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shd w:val="clear" w:color="auto" w:fill="D0CECE" w:themeFill="background2" w:themeFillShade="E6"/>
            <w:hideMark/>
          </w:tcPr>
          <w:p w14:paraId="37F234C8" w14:textId="77777777" w:rsidR="00222E0E" w:rsidRPr="00DD48A6" w:rsidRDefault="00222E0E" w:rsidP="00930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222E0E" w:rsidRPr="00DD48A6" w14:paraId="48E01013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vAlign w:val="bottom"/>
            <w:hideMark/>
          </w:tcPr>
          <w:p w14:paraId="36E3C05D" w14:textId="36AFC54A" w:rsidR="00222E0E" w:rsidRPr="00930FAD" w:rsidRDefault="1D56A136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</w:pPr>
            <w:r w:rsidRPr="00930FAD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hideMark/>
          </w:tcPr>
          <w:p w14:paraId="45FB0818" w14:textId="3DAC1FFF" w:rsidR="00222E0E" w:rsidRPr="00DD48A6" w:rsidRDefault="51497E20" w:rsidP="00930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DA2C16C">
              <w:rPr>
                <w:rFonts w:ascii="Arial" w:hAnsi="Arial" w:cs="Arial"/>
                <w:sz w:val="16"/>
                <w:szCs w:val="16"/>
                <w:lang w:val="es-ES"/>
              </w:rPr>
              <w:t>60.00%</w:t>
            </w:r>
          </w:p>
        </w:tc>
        <w:tc>
          <w:tcPr>
            <w:tcW w:w="618" w:type="pct"/>
            <w:gridSpan w:val="3"/>
            <w:hideMark/>
          </w:tcPr>
          <w:p w14:paraId="049F31CB" w14:textId="48E858F3" w:rsidR="00222E0E" w:rsidRPr="00DD48A6" w:rsidRDefault="00222E0E" w:rsidP="00930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hideMark/>
          </w:tcPr>
          <w:p w14:paraId="53128261" w14:textId="1DF21169" w:rsidR="00222E0E" w:rsidRPr="00DD48A6" w:rsidRDefault="00222E0E" w:rsidP="00930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hideMark/>
          </w:tcPr>
          <w:p w14:paraId="62486C05" w14:textId="52E8D2B5" w:rsidR="00222E0E" w:rsidRPr="00DD48A6" w:rsidRDefault="00222E0E" w:rsidP="00930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4101652C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pct"/>
            <w:gridSpan w:val="2"/>
            <w:tcBorders>
              <w:right w:val="none" w:sz="0" w:space="0" w:color="auto"/>
            </w:tcBorders>
            <w:vAlign w:val="bottom"/>
            <w:hideMark/>
          </w:tcPr>
          <w:p w14:paraId="4B99056E" w14:textId="77777777" w:rsidR="00222E0E" w:rsidRPr="00930FAD" w:rsidRDefault="00222E0E" w:rsidP="00930FAD">
            <w:pPr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hideMark/>
          </w:tcPr>
          <w:p w14:paraId="1299C43A" w14:textId="77777777" w:rsidR="00222E0E" w:rsidRPr="00DD48A6" w:rsidRDefault="00222E0E" w:rsidP="00930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hideMark/>
          </w:tcPr>
          <w:p w14:paraId="4DDBEF00" w14:textId="77777777" w:rsidR="00222E0E" w:rsidRPr="00DD48A6" w:rsidRDefault="00222E0E" w:rsidP="00930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hideMark/>
          </w:tcPr>
          <w:p w14:paraId="3461D779" w14:textId="77777777" w:rsidR="00222E0E" w:rsidRPr="00DD48A6" w:rsidRDefault="00222E0E" w:rsidP="00930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hideMark/>
          </w:tcPr>
          <w:p w14:paraId="3CF2D8B6" w14:textId="77777777" w:rsidR="00222E0E" w:rsidRPr="00DD48A6" w:rsidRDefault="00222E0E" w:rsidP="00930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F0071" w:rsidRPr="001F0071" w14:paraId="7F1E37C5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shd w:val="clear" w:color="auto" w:fill="800000"/>
            <w:hideMark/>
          </w:tcPr>
          <w:p w14:paraId="523AA50C" w14:textId="77777777" w:rsidR="00222E0E" w:rsidRPr="00930FAD" w:rsidRDefault="00222E0E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</w:pPr>
            <w:r w:rsidRPr="00930FAD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222E0E" w:rsidRPr="00DD48A6" w14:paraId="185C6C9C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27B7010E" w14:textId="3D749B7C" w:rsidR="1D56A136" w:rsidRPr="00930FAD" w:rsidRDefault="1D56A136" w:rsidP="00930FAD">
            <w:pPr>
              <w:jc w:val="left"/>
              <w:rPr>
                <w:i w:val="0"/>
                <w:iCs w:val="0"/>
              </w:rPr>
            </w:pPr>
            <w:r w:rsidRPr="00930FAD">
              <w:rPr>
                <w:rFonts w:ascii="Arial" w:eastAsia="Arial" w:hAnsi="Arial" w:cs="Arial"/>
                <w:b/>
                <w:bCs/>
                <w:i w:val="0"/>
                <w:iCs w:val="0"/>
                <w:sz w:val="15"/>
                <w:szCs w:val="15"/>
                <w:lang w:val="es"/>
              </w:rPr>
              <w:t>A) Fortalecimiento de la atención pregestacional en unidades de primer y segundo nivel de atención mediante la implementación de módulos de alto riesgo reproductivo (MARR)</w:t>
            </w:r>
          </w:p>
        </w:tc>
      </w:tr>
      <w:tr w:rsidR="00222E0E" w:rsidRPr="00DD48A6" w14:paraId="0A6FBDF2" w14:textId="77777777" w:rsidTr="0DA2C16C">
        <w:trPr>
          <w:gridAfter w:val="1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655B4D98" w14:textId="6876CD14" w:rsidR="1D56A136" w:rsidRPr="00930FAD" w:rsidRDefault="1D56A136" w:rsidP="00930FAD">
            <w:pPr>
              <w:jc w:val="left"/>
              <w:rPr>
                <w:i w:val="0"/>
                <w:iCs w:val="0"/>
              </w:rPr>
            </w:pPr>
            <w:r w:rsidRPr="00930FAD">
              <w:rPr>
                <w:rFonts w:ascii="Arial" w:eastAsia="Arial" w:hAnsi="Arial" w:cs="Arial"/>
                <w:b/>
                <w:bCs/>
                <w:i w:val="0"/>
                <w:iCs w:val="0"/>
                <w:sz w:val="15"/>
                <w:szCs w:val="15"/>
                <w:lang w:val="es-ES"/>
              </w:rPr>
              <w:t>B) Fortalecimiento de la calidad en el control prenatal otorgando acceso universal a los servicios de salud en Sinaloa mediante una consulta de calidad</w:t>
            </w:r>
          </w:p>
        </w:tc>
      </w:tr>
      <w:tr w:rsidR="00222E0E" w:rsidRPr="00DD48A6" w14:paraId="4B89DA9B" w14:textId="77777777" w:rsidTr="0DA2C1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51" w:type="pct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vAlign w:val="bottom"/>
            <w:hideMark/>
          </w:tcPr>
          <w:p w14:paraId="15528D05" w14:textId="0F8B3B76" w:rsidR="1D56A136" w:rsidRPr="00930FAD" w:rsidRDefault="1D56A136" w:rsidP="00930FAD">
            <w:pPr>
              <w:jc w:val="left"/>
              <w:rPr>
                <w:i w:val="0"/>
                <w:iCs w:val="0"/>
              </w:rPr>
            </w:pPr>
            <w:r w:rsidRPr="00930FAD">
              <w:rPr>
                <w:rFonts w:ascii="Arial" w:eastAsia="Arial" w:hAnsi="Arial" w:cs="Arial"/>
                <w:b/>
                <w:bCs/>
                <w:i w:val="0"/>
                <w:iCs w:val="0"/>
                <w:sz w:val="15"/>
                <w:szCs w:val="15"/>
                <w:lang w:val="es-ES"/>
              </w:rPr>
              <w:t xml:space="preserve">C) </w:t>
            </w:r>
            <w:r w:rsidR="2412626C" w:rsidRPr="00930FAD">
              <w:rPr>
                <w:rFonts w:ascii="Arial" w:eastAsia="Arial" w:hAnsi="Arial" w:cs="Arial"/>
                <w:b/>
                <w:bCs/>
                <w:i w:val="0"/>
                <w:iCs w:val="0"/>
                <w:sz w:val="15"/>
                <w:szCs w:val="15"/>
                <w:lang w:val="es-ES"/>
              </w:rPr>
              <w:t>S</w:t>
            </w:r>
            <w:r w:rsidRPr="00930FAD">
              <w:rPr>
                <w:rFonts w:ascii="Arial" w:eastAsia="Arial" w:hAnsi="Arial" w:cs="Arial"/>
                <w:b/>
                <w:bCs/>
                <w:i w:val="0"/>
                <w:iCs w:val="0"/>
                <w:sz w:val="15"/>
                <w:szCs w:val="15"/>
                <w:lang w:val="es-ES"/>
              </w:rPr>
              <w:t>upervisar en primer y segundo nivel de atención medica con relación a la paciente en etapa reproductiva, embarazo, atención del parto, puerperio y persona recién nacida. Así como las acciones y estrategias que favorezcan la disminución de la mortalidad y morbilidad materna y de la persona recién nacida.</w:t>
            </w:r>
          </w:p>
        </w:tc>
      </w:tr>
      <w:tr w:rsidR="00222E0E" w:rsidRPr="00DD48A6" w14:paraId="5E1D6CFA" w14:textId="77777777" w:rsidTr="0DA2C16C">
        <w:trPr>
          <w:gridAfter w:val="1"/>
          <w:wAfter w:w="1951" w:type="pct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pct"/>
            <w:gridSpan w:val="11"/>
            <w:tcBorders>
              <w:right w:val="none" w:sz="0" w:space="0" w:color="auto"/>
            </w:tcBorders>
            <w:hideMark/>
          </w:tcPr>
          <w:p w14:paraId="1142543A" w14:textId="177438E5" w:rsidR="00222E0E" w:rsidRPr="00930FAD" w:rsidRDefault="1D56A136" w:rsidP="00930FA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</w:pPr>
            <w:r w:rsidRPr="00930FAD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lang w:val="es-ES"/>
              </w:rPr>
              <w:t>Observaciones (Justificaciones): Se está trabajando directamente con jurisdicciones con la captura adecuada de la información.</w:t>
            </w:r>
          </w:p>
        </w:tc>
      </w:tr>
    </w:tbl>
    <w:p w14:paraId="172FE3DC" w14:textId="4E8889A5" w:rsidR="0036448A" w:rsidRPr="00DD48A6" w:rsidRDefault="5DB6DEAC" w:rsidP="5DB6DEAC">
      <w:pPr>
        <w:tabs>
          <w:tab w:val="left" w:pos="463"/>
        </w:tabs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ELABORÓ</w:t>
      </w:r>
    </w:p>
    <w:p w14:paraId="1FC39945" w14:textId="77777777" w:rsidR="0036448A" w:rsidRPr="00DD48A6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5AA425B8" w14:textId="0BF2FF30" w:rsidR="00F86413" w:rsidRPr="00DD48A6" w:rsidRDefault="00F86413" w:rsidP="5DB6DEAC">
      <w:pPr>
        <w:ind w:left="2832" w:firstLine="708"/>
        <w:rPr>
          <w:rFonts w:ascii="Arial" w:hAnsi="Arial" w:cs="Arial"/>
          <w:b/>
          <w:bCs/>
          <w:sz w:val="16"/>
          <w:szCs w:val="16"/>
          <w:lang w:val="es-ES"/>
        </w:rPr>
      </w:pPr>
      <w:r w:rsidRPr="00DD48A6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2A77A36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  <w:r w:rsidR="5DB6DEAC"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Dr. Rodolfo Guadalupe Osuna Berrelleza</w:t>
      </w:r>
    </w:p>
    <w:p w14:paraId="27D564F8" w14:textId="357A004F" w:rsidR="0036448A" w:rsidRPr="00DD48A6" w:rsidRDefault="5DB6DEAC" w:rsidP="5DB6DEAC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COORDINADOR DE SALUD MATENA Y PERINATAL</w:t>
      </w:r>
    </w:p>
    <w:sectPr w:rsidR="0036448A" w:rsidRPr="00DD48A6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F3EC" w14:textId="77777777" w:rsidR="00E60D17" w:rsidRDefault="00E60D17" w:rsidP="00C01465">
      <w:r>
        <w:separator/>
      </w:r>
    </w:p>
  </w:endnote>
  <w:endnote w:type="continuationSeparator" w:id="0">
    <w:p w14:paraId="76800E0F" w14:textId="77777777" w:rsidR="00E60D17" w:rsidRDefault="00E60D17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2F76" w14:textId="77777777" w:rsidR="00E60D17" w:rsidRDefault="00E60D17" w:rsidP="00C01465">
      <w:r>
        <w:separator/>
      </w:r>
    </w:p>
  </w:footnote>
  <w:footnote w:type="continuationSeparator" w:id="0">
    <w:p w14:paraId="787AE85E" w14:textId="77777777" w:rsidR="00E60D17" w:rsidRDefault="00E60D17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EE43" w14:textId="77777777" w:rsidR="0045558D" w:rsidRDefault="0045558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1F2E" wp14:editId="07777777">
          <wp:simplePos x="0" y="0"/>
          <wp:positionH relativeFrom="column">
            <wp:posOffset>-426085</wp:posOffset>
          </wp:positionH>
          <wp:positionV relativeFrom="paragraph">
            <wp:posOffset>-166370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174E1" w14:textId="77777777" w:rsidR="0045558D" w:rsidRDefault="0045558D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81EA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5416C3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24C84"/>
    <w:rsid w:val="000336FB"/>
    <w:rsid w:val="00045A49"/>
    <w:rsid w:val="0005745D"/>
    <w:rsid w:val="00077981"/>
    <w:rsid w:val="000869F0"/>
    <w:rsid w:val="000A1F7B"/>
    <w:rsid w:val="000A21C8"/>
    <w:rsid w:val="000E286D"/>
    <w:rsid w:val="00104682"/>
    <w:rsid w:val="00107B8B"/>
    <w:rsid w:val="00167A94"/>
    <w:rsid w:val="00174564"/>
    <w:rsid w:val="001A0176"/>
    <w:rsid w:val="001A611C"/>
    <w:rsid w:val="001A65D9"/>
    <w:rsid w:val="001B1389"/>
    <w:rsid w:val="001E22EC"/>
    <w:rsid w:val="001F0071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8471C"/>
    <w:rsid w:val="00390ABD"/>
    <w:rsid w:val="003A4E95"/>
    <w:rsid w:val="003E739B"/>
    <w:rsid w:val="00430085"/>
    <w:rsid w:val="00442984"/>
    <w:rsid w:val="0045558D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40C53"/>
    <w:rsid w:val="00551E35"/>
    <w:rsid w:val="005624B1"/>
    <w:rsid w:val="00582746"/>
    <w:rsid w:val="005C30F1"/>
    <w:rsid w:val="005E3A84"/>
    <w:rsid w:val="005F5DC1"/>
    <w:rsid w:val="006262C4"/>
    <w:rsid w:val="00643E16"/>
    <w:rsid w:val="006513AA"/>
    <w:rsid w:val="006772A5"/>
    <w:rsid w:val="006C2A25"/>
    <w:rsid w:val="006F3129"/>
    <w:rsid w:val="00711B16"/>
    <w:rsid w:val="007A1E74"/>
    <w:rsid w:val="007A5B67"/>
    <w:rsid w:val="007B45D5"/>
    <w:rsid w:val="007E3418"/>
    <w:rsid w:val="007E735E"/>
    <w:rsid w:val="007F5F7D"/>
    <w:rsid w:val="00815120"/>
    <w:rsid w:val="00820770"/>
    <w:rsid w:val="00831C9D"/>
    <w:rsid w:val="0085269D"/>
    <w:rsid w:val="008A2817"/>
    <w:rsid w:val="008D4DEC"/>
    <w:rsid w:val="009103E6"/>
    <w:rsid w:val="00914718"/>
    <w:rsid w:val="009276A3"/>
    <w:rsid w:val="00930FAD"/>
    <w:rsid w:val="00931966"/>
    <w:rsid w:val="0097301F"/>
    <w:rsid w:val="009A02E1"/>
    <w:rsid w:val="009A397D"/>
    <w:rsid w:val="009D7F20"/>
    <w:rsid w:val="00A07EDA"/>
    <w:rsid w:val="00A11255"/>
    <w:rsid w:val="00A21FB9"/>
    <w:rsid w:val="00A55309"/>
    <w:rsid w:val="00A72449"/>
    <w:rsid w:val="00A81248"/>
    <w:rsid w:val="00AA56B7"/>
    <w:rsid w:val="00AE02EA"/>
    <w:rsid w:val="00AE6C11"/>
    <w:rsid w:val="00AE75C2"/>
    <w:rsid w:val="00B06C47"/>
    <w:rsid w:val="00B2730E"/>
    <w:rsid w:val="00B33C93"/>
    <w:rsid w:val="00B4000A"/>
    <w:rsid w:val="00B531C8"/>
    <w:rsid w:val="00B65039"/>
    <w:rsid w:val="00BA68B1"/>
    <w:rsid w:val="00BE3892"/>
    <w:rsid w:val="00BE5CC1"/>
    <w:rsid w:val="00C01465"/>
    <w:rsid w:val="00C05BC8"/>
    <w:rsid w:val="00C27E4F"/>
    <w:rsid w:val="00C53C4E"/>
    <w:rsid w:val="00C62AB1"/>
    <w:rsid w:val="00C711ED"/>
    <w:rsid w:val="00C77F5F"/>
    <w:rsid w:val="00CB0B5F"/>
    <w:rsid w:val="00CB5335"/>
    <w:rsid w:val="00CC2DD1"/>
    <w:rsid w:val="00CD3872"/>
    <w:rsid w:val="00D21946"/>
    <w:rsid w:val="00D415FD"/>
    <w:rsid w:val="00D43BDB"/>
    <w:rsid w:val="00D6068F"/>
    <w:rsid w:val="00D63CFE"/>
    <w:rsid w:val="00DC70DE"/>
    <w:rsid w:val="00DD48A6"/>
    <w:rsid w:val="00DD5654"/>
    <w:rsid w:val="00DE149F"/>
    <w:rsid w:val="00DE4C09"/>
    <w:rsid w:val="00DF435A"/>
    <w:rsid w:val="00E05CCB"/>
    <w:rsid w:val="00E1172E"/>
    <w:rsid w:val="00E45925"/>
    <w:rsid w:val="00E51D25"/>
    <w:rsid w:val="00E60D17"/>
    <w:rsid w:val="00E711DF"/>
    <w:rsid w:val="00E8404D"/>
    <w:rsid w:val="00EA0C2E"/>
    <w:rsid w:val="00EA4825"/>
    <w:rsid w:val="00EB6491"/>
    <w:rsid w:val="00EC2DCB"/>
    <w:rsid w:val="00EE39C1"/>
    <w:rsid w:val="00EF012D"/>
    <w:rsid w:val="00F22D1D"/>
    <w:rsid w:val="00F34FA2"/>
    <w:rsid w:val="00F447DA"/>
    <w:rsid w:val="00F552B0"/>
    <w:rsid w:val="00F56C03"/>
    <w:rsid w:val="00F67217"/>
    <w:rsid w:val="00F728C2"/>
    <w:rsid w:val="00F810C8"/>
    <w:rsid w:val="00F86413"/>
    <w:rsid w:val="00F9509F"/>
    <w:rsid w:val="00FA7148"/>
    <w:rsid w:val="00FD0BC1"/>
    <w:rsid w:val="00FD5244"/>
    <w:rsid w:val="00FE234B"/>
    <w:rsid w:val="0296514C"/>
    <w:rsid w:val="02B6E042"/>
    <w:rsid w:val="078114DA"/>
    <w:rsid w:val="0DA2C16C"/>
    <w:rsid w:val="11B63F6D"/>
    <w:rsid w:val="11DB9D96"/>
    <w:rsid w:val="13B5B4C1"/>
    <w:rsid w:val="182926C2"/>
    <w:rsid w:val="199BCF59"/>
    <w:rsid w:val="1AC4E2BE"/>
    <w:rsid w:val="1D56A136"/>
    <w:rsid w:val="1DE39368"/>
    <w:rsid w:val="1E865AA8"/>
    <w:rsid w:val="22C9410E"/>
    <w:rsid w:val="2412626C"/>
    <w:rsid w:val="29A86AF4"/>
    <w:rsid w:val="2B1A541A"/>
    <w:rsid w:val="31F07BB7"/>
    <w:rsid w:val="41B6648D"/>
    <w:rsid w:val="454B0BB5"/>
    <w:rsid w:val="476BF7AB"/>
    <w:rsid w:val="4828607A"/>
    <w:rsid w:val="50A812B1"/>
    <w:rsid w:val="51497E20"/>
    <w:rsid w:val="545089AA"/>
    <w:rsid w:val="57446E66"/>
    <w:rsid w:val="5DB6DEAC"/>
    <w:rsid w:val="6D0179AF"/>
    <w:rsid w:val="6FCC288A"/>
    <w:rsid w:val="704C642E"/>
    <w:rsid w:val="73A7A151"/>
    <w:rsid w:val="7682D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C3C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  <w:style w:type="table" w:styleId="Tablanormal5">
    <w:name w:val="Plain Table 5"/>
    <w:basedOn w:val="Tabla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612-447E-6D44-8074-4CDCB618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Alba sanchez</cp:lastModifiedBy>
  <cp:revision>33</cp:revision>
  <cp:lastPrinted>2021-12-02T18:18:00Z</cp:lastPrinted>
  <dcterms:created xsi:type="dcterms:W3CDTF">2023-10-09T19:55:00Z</dcterms:created>
  <dcterms:modified xsi:type="dcterms:W3CDTF">2026-04-15T16:32:00Z</dcterms:modified>
</cp:coreProperties>
</file>