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37"/>
        <w:gridCol w:w="372"/>
        <w:gridCol w:w="325"/>
        <w:gridCol w:w="426"/>
        <w:gridCol w:w="373"/>
        <w:gridCol w:w="505"/>
        <w:gridCol w:w="492"/>
        <w:gridCol w:w="470"/>
        <w:gridCol w:w="1061"/>
        <w:gridCol w:w="707"/>
        <w:gridCol w:w="291"/>
        <w:gridCol w:w="384"/>
        <w:gridCol w:w="1345"/>
      </w:tblGrid>
      <w:tr w:rsidR="00290C22" w:rsidRPr="00290C22" w:rsidTr="002A4460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2A4460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FC0B80">
        <w:trPr>
          <w:trHeight w:val="315"/>
        </w:trPr>
        <w:tc>
          <w:tcPr>
            <w:tcW w:w="262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3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78336E" w:rsidRDefault="0078336E" w:rsidP="00E3432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Servicios de Salud Públicas</w:t>
            </w:r>
          </w:p>
        </w:tc>
      </w:tr>
      <w:tr w:rsidR="004E02CF" w:rsidRPr="00290C22" w:rsidTr="00FC0B80">
        <w:trPr>
          <w:trHeight w:val="315"/>
        </w:trPr>
        <w:tc>
          <w:tcPr>
            <w:tcW w:w="262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37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78336E" w:rsidRDefault="0078336E" w:rsidP="00E3432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FC0B80">
        <w:trPr>
          <w:trHeight w:val="315"/>
        </w:trPr>
        <w:tc>
          <w:tcPr>
            <w:tcW w:w="262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37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78336E" w:rsidRDefault="00FC0B80" w:rsidP="00E3432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FC0B80">
        <w:trPr>
          <w:trHeight w:val="315"/>
        </w:trPr>
        <w:tc>
          <w:tcPr>
            <w:tcW w:w="262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37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78336E" w:rsidRDefault="0078336E" w:rsidP="00E3432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Sanitarios.</w:t>
            </w:r>
          </w:p>
        </w:tc>
      </w:tr>
      <w:tr w:rsidR="00290C22" w:rsidRPr="00290C22" w:rsidTr="002A4460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4E4811">
        <w:trPr>
          <w:trHeight w:val="780"/>
        </w:trPr>
        <w:tc>
          <w:tcPr>
            <w:tcW w:w="1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8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C60C0F" w:rsidP="002A446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Propósito</w:t>
            </w:r>
          </w:p>
        </w:tc>
        <w:tc>
          <w:tcPr>
            <w:tcW w:w="8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1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C60C0F" w:rsidP="0029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La p</w:t>
            </w:r>
            <w:r w:rsidR="0078336E" w:rsidRPr="0078336E">
              <w:rPr>
                <w:rFonts w:ascii="Arial" w:hAnsi="Arial" w:cs="Arial"/>
                <w:color w:val="00B0F0"/>
                <w:sz w:val="18"/>
                <w:szCs w:val="18"/>
              </w:rPr>
              <w:t>oblación Sinaloense protegida contra riesgos sanitarios.</w:t>
            </w:r>
          </w:p>
        </w:tc>
      </w:tr>
      <w:tr w:rsidR="004E4811" w:rsidRPr="00290C22" w:rsidTr="004E4811">
        <w:trPr>
          <w:trHeight w:val="52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39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C60C0F" w:rsidP="002A4460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 w:rsidRPr="00C60C0F">
              <w:rPr>
                <w:rFonts w:ascii="Arial" w:hAnsi="Arial" w:cs="Arial"/>
                <w:color w:val="538ED5"/>
                <w:sz w:val="18"/>
                <w:szCs w:val="18"/>
              </w:rPr>
              <w:t>Porcentaj</w:t>
            </w:r>
            <w:r w:rsidR="0078336E">
              <w:rPr>
                <w:rFonts w:ascii="Arial" w:hAnsi="Arial" w:cs="Arial"/>
                <w:color w:val="538ED5"/>
                <w:sz w:val="18"/>
                <w:szCs w:val="18"/>
              </w:rPr>
              <w:t>e de cumplimiento de las políticas públicas enfocadas a la protección contra riesgos sanitarios.</w:t>
            </w:r>
          </w:p>
        </w:tc>
      </w:tr>
      <w:tr w:rsidR="00290C22" w:rsidRPr="00290C22" w:rsidTr="00D71F1F">
        <w:trPr>
          <w:trHeight w:val="54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39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78336E" w:rsidP="0053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Consolidar la operación de las áreas de protección contra riesgos sanitarios mediante acciones de mejora continua.</w:t>
            </w:r>
          </w:p>
        </w:tc>
      </w:tr>
      <w:tr w:rsidR="00290C22" w:rsidRPr="00290C22" w:rsidTr="00FC0B80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2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FC0B80" w:rsidP="004E02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Estratégico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78336E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FC0B80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2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78336E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Anual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78336E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 xml:space="preserve">Porcentaje </w:t>
            </w:r>
          </w:p>
        </w:tc>
      </w:tr>
      <w:tr w:rsidR="00290C22" w:rsidRPr="00290C22" w:rsidTr="00FC0B80">
        <w:trPr>
          <w:trHeight w:val="300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102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372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290C22" w:rsidRDefault="0078336E" w:rsidP="007833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(Acciones de mejora continua realizada por áreas de protección contra riesgos sanitarios</w:t>
            </w:r>
            <w:r w:rsidR="003272E5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 xml:space="preserve"> / </w:t>
            </w:r>
            <w:r w:rsidR="003272E5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Acciones de mejora continua programadas por las áreas de protección contra riesgos sanitarios</w:t>
            </w:r>
            <w:r w:rsidR="00C60C0F" w:rsidRPr="0078336E">
              <w:rPr>
                <w:rFonts w:ascii="Arial" w:hAnsi="Arial" w:cs="Arial"/>
                <w:color w:val="00B0F0"/>
                <w:sz w:val="18"/>
                <w:szCs w:val="18"/>
              </w:rPr>
              <w:t>) * 100</w:t>
            </w:r>
          </w:p>
        </w:tc>
      </w:tr>
      <w:tr w:rsidR="00290C22" w:rsidRPr="00290C22" w:rsidTr="00FC0B80">
        <w:trPr>
          <w:trHeight w:val="464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C22" w:rsidRPr="00290C22" w:rsidTr="00FC0B80">
        <w:trPr>
          <w:trHeight w:val="464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0B80" w:rsidRPr="00290C22" w:rsidTr="00FC0B80">
        <w:trPr>
          <w:trHeight w:val="848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372" w:type="pct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C0B80" w:rsidRDefault="0078336E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t>AMCR=</w:t>
            </w:r>
            <w:r w:rsidR="00FC0B80">
              <w:t xml:space="preserve"> </w:t>
            </w: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Acciones de mejora continua realizada por áreas de protección contra riesgos sanitarios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.</w:t>
            </w:r>
          </w:p>
          <w:p w:rsidR="0078336E" w:rsidRDefault="0078336E" w:rsidP="00284F37">
            <w:r w:rsidRPr="0078336E">
              <w:t xml:space="preserve">AMCP= </w:t>
            </w: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Acciones de mejora continua programadas por las áreas de protección contra riesgos sanitarios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.</w:t>
            </w:r>
          </w:p>
          <w:p w:rsidR="00FC0B80" w:rsidRPr="00290C22" w:rsidRDefault="00C60C0F" w:rsidP="0078336E">
            <w:pPr>
              <w:rPr>
                <w:rFonts w:ascii="Arial" w:hAnsi="Arial" w:cs="Arial"/>
                <w:sz w:val="18"/>
                <w:szCs w:val="18"/>
              </w:rPr>
            </w:pPr>
            <w:r w:rsidRPr="00C60C0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8336E">
              <w:rPr>
                <w:rFonts w:ascii="Arial" w:hAnsi="Arial" w:cs="Arial"/>
                <w:color w:val="000000"/>
                <w:sz w:val="18"/>
                <w:szCs w:val="18"/>
              </w:rPr>
              <w:t>AMCR</w:t>
            </w:r>
            <w:r w:rsidR="003272E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78336E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3272E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8336E">
              <w:rPr>
                <w:rFonts w:ascii="Arial" w:hAnsi="Arial" w:cs="Arial"/>
                <w:color w:val="000000"/>
                <w:sz w:val="18"/>
                <w:szCs w:val="18"/>
              </w:rPr>
              <w:t>AMCP</w:t>
            </w:r>
            <w:r w:rsidRPr="00C60C0F">
              <w:rPr>
                <w:rFonts w:ascii="Arial" w:hAnsi="Arial" w:cs="Arial"/>
                <w:color w:val="000000"/>
                <w:sz w:val="18"/>
                <w:szCs w:val="18"/>
              </w:rPr>
              <w:t>) * 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bookmarkStart w:id="1" w:name="_GoBack"/>
        <w:bookmarkEnd w:id="1"/>
      </w:tr>
      <w:tr w:rsidR="00290C22" w:rsidRPr="00290C22" w:rsidTr="00FC0B80">
        <w:trPr>
          <w:trHeight w:val="48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D71F1F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FC0B80">
        <w:trPr>
          <w:trHeight w:val="315"/>
        </w:trPr>
        <w:tc>
          <w:tcPr>
            <w:tcW w:w="18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10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FC0B80">
        <w:trPr>
          <w:trHeight w:val="315"/>
        </w:trPr>
        <w:tc>
          <w:tcPr>
            <w:tcW w:w="18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10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FC0B80">
        <w:trPr>
          <w:trHeight w:val="315"/>
        </w:trPr>
        <w:tc>
          <w:tcPr>
            <w:tcW w:w="18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10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FC0B80">
        <w:trPr>
          <w:trHeight w:val="315"/>
        </w:trPr>
        <w:tc>
          <w:tcPr>
            <w:tcW w:w="186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135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78336E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FC0B80">
        <w:trPr>
          <w:trHeight w:val="315"/>
        </w:trPr>
        <w:tc>
          <w:tcPr>
            <w:tcW w:w="186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78336E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FC0B80">
        <w:trPr>
          <w:trHeight w:val="315"/>
        </w:trPr>
        <w:tc>
          <w:tcPr>
            <w:tcW w:w="186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78336E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78336E">
        <w:trPr>
          <w:trHeight w:val="315"/>
        </w:trPr>
        <w:tc>
          <w:tcPr>
            <w:tcW w:w="144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5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1F" w:rsidRPr="0078336E" w:rsidRDefault="0078336E" w:rsidP="0078336E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8336E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4E4811">
        <w:trPr>
          <w:trHeight w:val="315"/>
        </w:trPr>
        <w:tc>
          <w:tcPr>
            <w:tcW w:w="144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9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4E4811">
        <w:trPr>
          <w:trHeight w:val="315"/>
        </w:trPr>
        <w:tc>
          <w:tcPr>
            <w:tcW w:w="144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9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E3432E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D71F1F" w:rsidRPr="00290C22" w:rsidTr="00FC0B80">
        <w:trPr>
          <w:trHeight w:val="420"/>
        </w:trPr>
        <w:tc>
          <w:tcPr>
            <w:tcW w:w="2354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646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085E54" w:rsidP="00085E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E54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Sinaloa.</w:t>
            </w:r>
          </w:p>
        </w:tc>
      </w:tr>
      <w:tr w:rsidR="00D71F1F" w:rsidRPr="00290C22" w:rsidTr="00FC0B80">
        <w:trPr>
          <w:trHeight w:val="315"/>
        </w:trPr>
        <w:tc>
          <w:tcPr>
            <w:tcW w:w="2354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E3432E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4E4811">
        <w:trPr>
          <w:trHeight w:val="315"/>
        </w:trPr>
        <w:tc>
          <w:tcPr>
            <w:tcW w:w="20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292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085E54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085E54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 Sanitarios de Sinaloa.</w:t>
            </w:r>
          </w:p>
        </w:tc>
      </w:tr>
      <w:tr w:rsidR="00D71F1F" w:rsidRPr="00290C22" w:rsidTr="004E4811">
        <w:trPr>
          <w:trHeight w:val="300"/>
        </w:trPr>
        <w:tc>
          <w:tcPr>
            <w:tcW w:w="20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2927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6719FA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63485"/>
    <w:rsid w:val="00085E54"/>
    <w:rsid w:val="000D1AF8"/>
    <w:rsid w:val="001F381E"/>
    <w:rsid w:val="001F5DBC"/>
    <w:rsid w:val="0025124A"/>
    <w:rsid w:val="00284F37"/>
    <w:rsid w:val="00290C22"/>
    <w:rsid w:val="003272E5"/>
    <w:rsid w:val="003377E6"/>
    <w:rsid w:val="00396843"/>
    <w:rsid w:val="004E02CF"/>
    <w:rsid w:val="004E4811"/>
    <w:rsid w:val="00503ACE"/>
    <w:rsid w:val="00536C79"/>
    <w:rsid w:val="0058560B"/>
    <w:rsid w:val="006719FA"/>
    <w:rsid w:val="006963D6"/>
    <w:rsid w:val="006E38DE"/>
    <w:rsid w:val="0078336E"/>
    <w:rsid w:val="007D1C18"/>
    <w:rsid w:val="0089739C"/>
    <w:rsid w:val="008D0ABE"/>
    <w:rsid w:val="008F4627"/>
    <w:rsid w:val="00985EEC"/>
    <w:rsid w:val="00996B71"/>
    <w:rsid w:val="00B15843"/>
    <w:rsid w:val="00B27BFD"/>
    <w:rsid w:val="00B46275"/>
    <w:rsid w:val="00C24D97"/>
    <w:rsid w:val="00C60C0F"/>
    <w:rsid w:val="00CE32F8"/>
    <w:rsid w:val="00CE6F03"/>
    <w:rsid w:val="00D419FB"/>
    <w:rsid w:val="00D71F1F"/>
    <w:rsid w:val="00E66C7A"/>
    <w:rsid w:val="00F35A56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7</cp:revision>
  <cp:lastPrinted>2019-05-27T20:36:00Z</cp:lastPrinted>
  <dcterms:created xsi:type="dcterms:W3CDTF">2019-01-31T17:06:00Z</dcterms:created>
  <dcterms:modified xsi:type="dcterms:W3CDTF">2019-06-20T15:44:00Z</dcterms:modified>
</cp:coreProperties>
</file>